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sz w:val="2"/>
        </w:rPr>
        <w:t xml:space="preserve"> </w:t>
      </w:r>
    </w:p>
    <w:p>
      <w:pPr>
        <w:spacing w:after="120"/>
        <w:jc w:val="center"/>
      </w:pPr>
      <w:r>
        <w:rPr>
          <w:rFonts w:ascii="Calibri" w:hAnsi="Calibri"/>
          <w:b/>
          <w:color w:val="1F4E79"/>
          <w:sz w:val="72"/>
        </w:rPr>
        <w:t>NovaCorp</w:t>
      </w:r>
    </w:p>
    <w:p>
      <w:pPr>
        <w:spacing w:after="80"/>
        <w:jc w:val="center"/>
      </w:pPr>
      <w:r>
        <w:rPr>
          <w:rFonts w:ascii="Calibri" w:hAnsi="Calibri"/>
          <w:b w:val="0"/>
          <w:color w:val="1A1A1A"/>
          <w:sz w:val="56"/>
        </w:rPr>
        <w:t>Culture &amp; Career Progression</w:t>
      </w:r>
    </w:p>
    <w:p>
      <w:pPr>
        <w:spacing w:before="240" w:after="80"/>
        <w:jc w:val="center"/>
        <w:pBdr>
          <w:bottom w:val="single" w:sz="24" w:space="1" w:color="1F4E79"/>
        </w:pBdr>
      </w:pPr>
      <w:r>
        <w:rPr>
          <w:sz w:val="2"/>
        </w:rPr>
        <w:t xml:space="preserve"> </w:t>
      </w:r>
    </w:p>
    <w:p>
      <w:pPr>
        <w:spacing w:before="320"/>
        <w:jc w:val="center"/>
      </w:pPr>
      <w:r>
        <w:rPr>
          <w:rFonts w:ascii="Calibri" w:hAnsi="Calibri"/>
          <w:b w:val="0"/>
          <w:color w:val="555555"/>
          <w:sz w:val="36"/>
        </w:rPr>
        <w:t>Six Key Issues</w:t>
      </w:r>
    </w:p>
    <w:p>
      <w:pPr>
        <w:spacing w:before="80"/>
        <w:jc w:val="center"/>
      </w:pPr>
      <w:r>
        <w:rPr>
          <w:rFonts w:ascii="Calibri" w:hAnsi="Calibri"/>
          <w:color w:val="888888"/>
          <w:sz w:val="24"/>
        </w:rPr>
        <w:t>People Analytics Report</w:t>
      </w:r>
    </w:p>
    <w:p>
      <w:r>
        <w:br w:type="page"/>
      </w: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1.  Entity_B: Culture Crisis, Not Career Crisis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40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Entity_A</w:t>
            </w:r>
          </w:p>
        </w:tc>
        <w:tc>
          <w:tcPr>
            <w:tcW w:type="dxa" w:w="240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Entity_B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Promotion-eligible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25.6%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26.6%</w:t>
            </w:r>
          </w:p>
        </w:tc>
      </w:tr>
      <w:tr>
        <w:tc>
          <w:tcPr>
            <w:tcW w:type="dxa" w:w="3118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Voluntary exit rate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6.7%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11.9%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Leadership trust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3.33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3.06</w:t>
            </w:r>
          </w:p>
        </w:tc>
      </w:tr>
      <w:tr>
        <w:tc>
          <w:tcPr>
            <w:tcW w:type="dxa" w:w="3118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Purpose &amp; meaning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3.34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3.07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Same promotion chances, double the exits. People leave because they don't trust leadership and find no meaning in their work.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2.  HiPo Paradox: Label Without a Path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40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HiPo</w:t>
            </w:r>
          </w:p>
        </w:tc>
        <w:tc>
          <w:tcPr>
            <w:tcW w:type="dxa" w:w="240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Non-HiPo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Exit rate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12.5%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8.1%</w:t>
            </w:r>
          </w:p>
        </w:tc>
      </w:tr>
      <w:tr>
        <w:tc>
          <w:tcPr>
            <w:tcW w:type="dxa" w:w="3118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Career dev score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3.368</w:t>
            </w:r>
          </w:p>
        </w:tc>
        <w:tc>
          <w:tcPr>
            <w:tcW w:type="dxa" w:w="240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3.367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Actually promo-eligible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29% only</w:t>
            </w:r>
          </w:p>
        </w:tc>
        <w:tc>
          <w:tcPr>
            <w:tcW w:type="dxa" w:w="240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71% of "high potentials" see no career path. The label backfires — they leave faster.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3.  Promotion Doesn't Retain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Promo-eligible</w:t>
            </w:r>
          </w:p>
        </w:tc>
        <w:tc>
          <w:tcPr>
            <w:tcW w:type="dxa" w:w="396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 eligible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8.6% exit</w:t>
            </w:r>
          </w:p>
        </w:tc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8.4% exit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Almost identical. The promotion label has zero retention value.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4.  Entity_C: Confidence Time Bomb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26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Confidence in Future</w:t>
            </w:r>
          </w:p>
        </w:tc>
        <w:tc>
          <w:tcPr>
            <w:tcW w:type="dxa" w:w="1843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Exit Rate</w:t>
            </w:r>
          </w:p>
        </w:tc>
        <w:tc>
          <w:tcPr>
            <w:tcW w:type="dxa" w:w="1984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Avg Tenure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Origin</w:t>
            </w:r>
          </w:p>
        </w:tc>
        <w:tc>
          <w:tcPr>
            <w:tcW w:type="dxa" w:w="2126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3.367</w:t>
            </w:r>
          </w:p>
        </w:tc>
        <w:tc>
          <w:tcPr>
            <w:tcW w:type="dxa" w:w="1843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8.1%</w:t>
            </w:r>
          </w:p>
        </w:tc>
        <w:tc>
          <w:tcPr>
            <w:tcW w:type="dxa" w:w="1984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1984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Entity_A</w:t>
            </w:r>
          </w:p>
        </w:tc>
        <w:tc>
          <w:tcPr>
            <w:tcW w:type="dxa" w:w="2126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3.355</w:t>
            </w:r>
          </w:p>
        </w:tc>
        <w:tc>
          <w:tcPr>
            <w:tcW w:type="dxa" w:w="1843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6.7%</w:t>
            </w:r>
          </w:p>
        </w:tc>
        <w:tc>
          <w:tcPr>
            <w:tcW w:type="dxa" w:w="1984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29.6 mo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Entity_B</w:t>
            </w:r>
          </w:p>
        </w:tc>
        <w:tc>
          <w:tcPr>
            <w:tcW w:type="dxa" w:w="2126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3.361</w:t>
            </w:r>
          </w:p>
        </w:tc>
        <w:tc>
          <w:tcPr>
            <w:tcW w:type="dxa" w:w="1843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11.9%</w:t>
            </w:r>
          </w:p>
        </w:tc>
        <w:tc>
          <w:tcPr>
            <w:tcW w:type="dxa" w:w="1984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12.3 mo</w:t>
            </w:r>
          </w:p>
        </w:tc>
      </w:tr>
      <w:tr>
        <w:tc>
          <w:tcPr>
            <w:tcW w:type="dxa" w:w="1984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Entity_C</w:t>
            </w:r>
          </w:p>
        </w:tc>
        <w:tc>
          <w:tcPr>
            <w:tcW w:type="dxa" w:w="2126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3.199</w:t>
            </w:r>
          </w:p>
        </w:tc>
        <w:tc>
          <w:tcPr>
            <w:tcW w:type="dxa" w:w="1843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8.4%</w:t>
            </w:r>
          </w:p>
        </w:tc>
        <w:tc>
          <w:tcPr>
            <w:tcW w:type="dxa" w:w="1984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7.5 mo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Lowest confidence in the company. Low exit only because still in honeymoon phase.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5.  Management: Costliest Regrettable Exits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 Family</w:t>
            </w:r>
          </w:p>
        </w:tc>
        <w:tc>
          <w:tcPr>
            <w:tcW w:type="dxa" w:w="3969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Regrettable Exit %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Management</w:t>
            </w:r>
          </w:p>
        </w:tc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17.1%</w:t>
            </w:r>
          </w:p>
        </w:tc>
      </w:tr>
      <w:tr>
        <w:tc>
          <w:tcPr>
            <w:tcW w:type="dxa" w:w="396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Operations</w:t>
            </w:r>
          </w:p>
        </w:tc>
        <w:tc>
          <w:tcPr>
            <w:tcW w:type="dxa" w:w="3969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16.4%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Client-Advisory</w:t>
            </w:r>
          </w:p>
        </w:tc>
        <w:tc>
          <w:tcPr>
            <w:tcW w:type="dxa" w:w="3969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14.7%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Mid-level managers — the future leadership pipeline — are leaving at the highest rate.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160" w:lineRule="exact"/>
      </w:pPr>
      <w:r>
        <w:rPr>
          <w:sz w:val="2"/>
        </w:rPr>
        <w:t xml:space="preserve"> </w:t>
      </w:r>
    </w:p>
    <w:p>
      <w:pPr>
        <w:spacing w:before="0" w:after="20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6.  Level 5: Stuck, Not Satisfied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35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Career Dev Score</w:t>
            </w:r>
          </w:p>
        </w:tc>
        <w:tc>
          <w:tcPr>
            <w:tcW w:type="dxa" w:w="2835"/>
            <w:shd w:fill="1F4E79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Exit Rate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L1–L4</w:t>
            </w:r>
          </w:p>
        </w:tc>
        <w:tc>
          <w:tcPr>
            <w:tcW w:type="dxa" w:w="2835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3.35–3.41</w:t>
            </w:r>
          </w:p>
        </w:tc>
        <w:tc>
          <w:tcPr>
            <w:tcW w:type="dxa" w:w="2835"/>
            <w:shd w:fill="FFFFFF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8–9%</w:t>
            </w:r>
          </w:p>
        </w:tc>
      </w:tr>
      <w:tr>
        <w:tc>
          <w:tcPr>
            <w:tcW w:type="dxa" w:w="2268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L5</w:t>
            </w:r>
          </w:p>
        </w:tc>
        <w:tc>
          <w:tcPr>
            <w:tcW w:type="dxa" w:w="2835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3.261</w:t>
            </w:r>
          </w:p>
        </w:tc>
        <w:tc>
          <w:tcPr>
            <w:tcW w:type="dxa" w:w="2835"/>
            <w:shd w:fill="F2F2F2" w:val="clear"/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3.8%</w:t>
            </w:r>
          </w:p>
        </w:tc>
      </w:tr>
    </w:tbl>
    <w:p>
      <w:pPr>
        <w:spacing w:before="160" w:after="80"/>
        <w:ind w:left="283"/>
        <w:pBdr>
          <w:left w:val="single" w:sz="18" w:space="6" w:color="1F4E79"/>
        </w:pBdr>
      </w:pPr>
      <w:r>
        <w:rPr>
          <w:rFonts w:ascii="Calibri" w:hAnsi="Calibri"/>
          <w:i/>
          <w:color w:val="333333"/>
          <w:sz w:val="21"/>
        </w:rPr>
        <w:t>Lowest career satisfaction, lowest exit. Golden handcuffs — they stay but stop growing.</w:t>
      </w:r>
    </w:p>
    <w:p>
      <w:pPr>
        <w:spacing w:before="0" w:after="120"/>
        <w:pBdr>
          <w:bottom w:val="single" w:sz="12" w:space="1" w:color="1F4E79"/>
        </w:pBdr>
      </w:pPr>
    </w:p>
    <w:p>
      <w:pPr>
        <w:spacing w:before="0" w:after="0" w:line="280" w:lineRule="exact"/>
      </w:pPr>
      <w:r>
        <w:rPr>
          <w:sz w:val="2"/>
        </w:rPr>
        <w:t xml:space="preserve"> </w:t>
      </w:r>
    </w:p>
    <w:p>
      <w:pPr>
        <w:spacing w:before="160" w:after="80"/>
        <w:shd w:fill="1F4E79" w:val="clear"/>
      </w:pPr>
      <w:r>
        <w:rPr>
          <w:rFonts w:ascii="Calibri" w:hAnsi="Calibri"/>
          <w:b/>
          <w:color w:val="FFFFFF"/>
          <w:sz w:val="26"/>
        </w:rPr>
        <w:t xml:space="preserve">  Bottom Line</w:t>
      </w:r>
    </w:p>
    <w:p>
      <w:pPr>
        <w:spacing w:before="0" w:after="0" w:line="120" w:lineRule="exact"/>
      </w:pPr>
      <w:r>
        <w:rPr>
          <w:sz w:val="2"/>
        </w:rPr>
        <w:t xml:space="preserve"> </w:t>
      </w:r>
    </w:p>
    <w:p>
      <w:pPr>
        <w:spacing w:after="40"/>
        <w:ind w:left="170"/>
      </w:pPr>
      <w:r>
        <w:rPr>
          <w:rFonts w:ascii="Calibri" w:hAnsi="Calibri"/>
          <w:i/>
          <w:color w:val="1A1A1A"/>
          <w:sz w:val="22"/>
        </w:rPr>
        <w:t>NovaCorp's career pipeline is structurally fine. The problem is cultural: broken trust, empty promises, and invisible paths.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