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F4E79"/>
          <w:sz w:val="52"/>
        </w:rPr>
        <w:t>Further Investigation Answers</w:t>
      </w:r>
    </w:p>
    <w:p>
      <w:pPr>
        <w:spacing w:after="720"/>
        <w:jc w:val="center"/>
      </w:pPr>
      <w:r>
        <w:rPr>
          <w:rFonts w:ascii="Calibri" w:hAnsi="Calibri"/>
          <w:color w:val="555555"/>
          <w:sz w:val="32"/>
        </w:rPr>
        <w:t>10 Key Workforce Questions — Data-Backed Responses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Date: </w:t>
      </w:r>
      <w:r>
        <w:rPr>
          <w:rFonts w:ascii="Calibri" w:hAnsi="Calibri"/>
          <w:sz w:val="22"/>
        </w:rPr>
        <w:t>August 2026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Confidentiality: </w:t>
      </w:r>
      <w:r>
        <w:rPr>
          <w:rFonts w:ascii="Calibri" w:hAnsi="Calibri"/>
          <w:sz w:val="22"/>
        </w:rPr>
        <w:t>Internal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1F4E79"/>
          <w:sz w:val="32"/>
        </w:rPr>
        <w:t>Q1: Do strong performers leave without promotion?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Performance Level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Promoted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 Promoted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Exit Rate</w:t>
            </w:r>
          </w:p>
        </w:tc>
      </w:tr>
      <w:tr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Exceeds Expectations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Yes (n=847)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No (n=1,420)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4.2%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Meets Expectations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Yes (n=1,203)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No (n=2,895)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6.1%</w:t>
            </w:r>
          </w:p>
        </w:tc>
      </w:tr>
      <w:tr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Below Expectations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Yes (n=156)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No (n=1,061)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12.8%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Overall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n=2,206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n=5,376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6.7%</w:t>
            </w:r>
          </w:p>
        </w:tc>
      </w:tr>
    </w:tbl>
    <w:p/>
    <w:p>
      <w:pPr>
        <w:spacing w:before="40" w:after="240"/>
      </w:pPr>
      <w:r>
        <w:rPr>
          <w:rFonts w:ascii="Calibri" w:hAnsi="Calibri"/>
          <w:i/>
          <w:sz w:val="22"/>
        </w:rPr>
        <w:t>Conclusion: Employees rated Below Expectations who received a promotion still exit at 12.8% — the highest rate across all groups, suggesting that overdue promotions fail to retain underperformers.</w:t>
      </w:r>
    </w:p>
    <w:p>
      <w:pPr>
        <w:spacing w:before="360" w:after="160"/>
      </w:pPr>
      <w:r>
        <w:rPr>
          <w:rFonts w:ascii="Calibri" w:hAnsi="Calibri"/>
          <w:b/>
          <w:color w:val="1F4E79"/>
          <w:sz w:val="32"/>
        </w:rPr>
        <w:t>Q2: Do certain origins have fewer career paths?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Origin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Career Dev Score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Internal Mobility Rate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Avg Roles Held</w:t>
            </w:r>
          </w:p>
        </w:tc>
      </w:tr>
      <w:tr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External Hire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2.841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18.3%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1.9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Internal Transfer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3.112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24.7%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2.4</w:t>
            </w:r>
          </w:p>
        </w:tc>
      </w:tr>
      <w:tr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Campus Graduate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2.956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21.1%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2.1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Origin Country Referral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3.378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31.2%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20"/>
              </w:rPr>
              <w:t>2.9</w:t>
            </w:r>
          </w:p>
        </w:tc>
      </w:tr>
      <w:tr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Rehire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2.703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15.8%</w:t>
            </w:r>
          </w:p>
        </w:tc>
        <w:tc>
          <w:tcPr>
            <w:tcW w:type="dxa" w:w="234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1.7</w:t>
            </w:r>
          </w:p>
        </w:tc>
      </w:tr>
    </w:tbl>
    <w:p/>
    <w:p>
      <w:pPr>
        <w:spacing w:before="40" w:after="240"/>
      </w:pPr>
      <w:r>
        <w:rPr>
          <w:rFonts w:ascii="Calibri" w:hAnsi="Calibri"/>
          <w:i/>
          <w:sz w:val="22"/>
        </w:rPr>
        <w:t>Conclusion: Origin Country Referral hires report the highest career development score (3.378) and mobility rate (31.2%), indicating they have the most — not the fewest — career paths.</w:t>
      </w:r>
    </w:p>
    <w:p>
      <w:pPr>
        <w:spacing w:before="360" w:after="160"/>
      </w:pPr>
      <w:r>
        <w:rPr>
          <w:rFonts w:ascii="Calibri" w:hAnsi="Calibri"/>
          <w:b/>
          <w:color w:val="1F4E79"/>
          <w:sz w:val="32"/>
        </w:rPr>
        <w:t>Q3: Does a compa-ratio below 0.95 drive more pull exits?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Compa-Ratio Group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Headcount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Pull Exits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Push Exits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Total Exit Rate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&lt; 0.85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1,842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4.6%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2.1%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6.7%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0.85-0.95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3,271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3.9%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2.0%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5.9%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0.95-1.05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2,108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2.8%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2.3%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5.1%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&gt; 1.05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1,905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2.1%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2.4%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4.5%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Overall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9,126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3.3%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2.2%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5.5%</w:t>
            </w:r>
          </w:p>
        </w:tc>
      </w:tr>
    </w:tbl>
    <w:p/>
    <w:p>
      <w:pPr>
        <w:spacing w:before="40" w:after="240"/>
      </w:pPr>
      <w:r>
        <w:rPr>
          <w:rFonts w:ascii="Calibri" w:hAnsi="Calibri"/>
          <w:i/>
          <w:sz w:val="22"/>
        </w:rPr>
        <w:t>Conclusion: Employees with compa-ratio below 0.95 show elevated pull-exit rates (3.9% vs 2.8% for those at or above market), confirming that under-market pay makes external offers more attractive.</w:t>
      </w:r>
    </w:p>
    <w:p>
      <w:pPr>
        <w:spacing w:before="360" w:after="160"/>
      </w:pPr>
      <w:r>
        <w:rPr>
          <w:rFonts w:ascii="Calibri" w:hAnsi="Calibri"/>
          <w:b/>
          <w:color w:val="1F4E79"/>
          <w:sz w:val="32"/>
        </w:rPr>
        <w:t>Q4: Are HiPos more likely to be pulled externally?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HiPo Status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Headcount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Pull Exits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Push Exits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Retention Rate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HiPo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1,134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8.7%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1.2%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90.1%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Non-HiPo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7,992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2.8%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2.3%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94.9%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Overall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9,126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3.3%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2.2%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94.5%</w:t>
            </w:r>
          </w:p>
        </w:tc>
      </w:tr>
    </w:tbl>
    <w:p/>
    <w:p>
      <w:pPr>
        <w:spacing w:before="40" w:after="240"/>
      </w:pPr>
      <w:r>
        <w:rPr>
          <w:rFonts w:ascii="Calibri" w:hAnsi="Calibri"/>
          <w:i/>
          <w:sz w:val="22"/>
        </w:rPr>
        <w:t>Conclusion: HiPos are pulled externally at 8.7% — over three times the non-HiPo rate of 2.8% — confirming that high-potential talent attracts disproportionate external recruiting attention.</w:t>
      </w:r>
    </w:p>
    <w:p>
      <w:pPr>
        <w:spacing w:before="360" w:after="160"/>
      </w:pPr>
      <w:r>
        <w:rPr>
          <w:rFonts w:ascii="Calibri" w:hAnsi="Calibri"/>
          <w:b/>
          <w:color w:val="1F4E79"/>
          <w:sz w:val="32"/>
        </w:rPr>
        <w:t>Q5: Does low managerial confidence predict regrettable exits?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Confidence Level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Headcount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Regrettable Exit Rate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Odds Ratio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p-value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Low (1-2)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1,873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5.8%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1.12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0.341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Medium (3)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3,402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5.3%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1.00 (ref)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High (4-5)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3,851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5.1%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0.94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0.287</w:t>
            </w:r>
          </w:p>
        </w:tc>
      </w:tr>
    </w:tbl>
    <w:p/>
    <w:p>
      <w:pPr>
        <w:spacing w:before="40" w:after="240"/>
      </w:pPr>
      <w:r>
        <w:rPr>
          <w:rFonts w:ascii="Calibri" w:hAnsi="Calibri"/>
          <w:i/>
          <w:sz w:val="22"/>
        </w:rPr>
        <w:t>Conclusion: Managerial confidence does not significantly predict regrettable exits (p &gt; 0.05 across all levels); the observed 0.7pp difference between low and high confidence groups is noise, not signal.</w:t>
      </w:r>
    </w:p>
    <w:p>
      <w:pPr>
        <w:spacing w:before="360" w:after="160"/>
      </w:pPr>
      <w:r>
        <w:rPr>
          <w:rFonts w:ascii="Calibri" w:hAnsi="Calibri"/>
          <w:b/>
          <w:color w:val="1F4E79"/>
          <w:sz w:val="32"/>
        </w:rPr>
        <w:t>Q6: Do unfilled roles hurt employee wellbeing?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Unfilled-Role Exposure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Headcount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Wellbeing Score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Engagement Score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Burnout Rate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No unfilled roles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5,214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7.2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7.5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12.4%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1-3 months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2,631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7.0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7.3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14.1%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4-6 months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873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6.9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7.1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15.8%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&gt; 6 months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408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6.7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6.9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17.3%</w:t>
            </w:r>
          </w:p>
        </w:tc>
      </w:tr>
    </w:tbl>
    <w:p/>
    <w:p>
      <w:pPr>
        <w:spacing w:before="40" w:after="240"/>
      </w:pPr>
      <w:r>
        <w:rPr>
          <w:rFonts w:ascii="Calibri" w:hAnsi="Calibri"/>
          <w:i/>
          <w:sz w:val="22"/>
        </w:rPr>
        <w:t>Conclusion: The wellbeing drop from zero to prolonged unfilled-role exposure is only 0.5 points (7.2 to 6.7) — a minimal effect that suggests other factors drive wellbeing more than vacancy duration.</w:t>
      </w:r>
    </w:p>
    <w:p>
      <w:pPr>
        <w:spacing w:before="360" w:after="160"/>
      </w:pPr>
      <w:r>
        <w:rPr>
          <w:rFonts w:ascii="Calibri" w:hAnsi="Calibri"/>
          <w:b/>
          <w:color w:val="1F4E79"/>
          <w:sz w:val="32"/>
        </w:rPr>
        <w:t>Q7: Do short-tenure employees cite work-life balance as their exit reason?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Tenure Group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Headcount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Work-Life Balance (exit reason %)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Avg Tenure (months)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Top Exit Reason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&lt; 1 year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1,892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8.3%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Career Advancement (34.2%)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1-3 years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2,431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5.7%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23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Career Advancement (28.9%)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3-7 years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2,104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7.1%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58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Career Advancement (22.1%)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7-15 years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1,659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9.8%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128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Work-Life Balance (9.8%)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&gt; 15 years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1,040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14.5%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146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Work-Life Balance (14.5%)</w:t>
            </w:r>
          </w:p>
        </w:tc>
      </w:tr>
    </w:tbl>
    <w:p/>
    <w:p>
      <w:pPr>
        <w:spacing w:before="40" w:after="240"/>
      </w:pPr>
      <w:r>
        <w:rPr>
          <w:rFonts w:ascii="Calibri" w:hAnsi="Calibri"/>
          <w:i/>
          <w:sz w:val="22"/>
        </w:rPr>
        <w:t>Conclusion: Work-life balance is the top exit reason only among long-tenure employees (avg 146 months), not short-tenure; early exits are driven by career advancement concerns, not balance.</w:t>
      </w:r>
    </w:p>
    <w:p>
      <w:pPr>
        <w:spacing w:before="360" w:after="160"/>
      </w:pPr>
      <w:r>
        <w:rPr>
          <w:rFonts w:ascii="Calibri" w:hAnsi="Calibri"/>
          <w:b/>
          <w:color w:val="1F4E79"/>
          <w:sz w:val="32"/>
        </w:rPr>
        <w:t>Q8: Which department and level has the highest regrettable exit rate?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L1 Regret.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L2 Regret.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L3 Regret.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L4+ Regret.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Dept Avg</w:t>
            </w:r>
          </w:p>
        </w:tc>
      </w:tr>
      <w:tr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Engineering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3.8%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5.2%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8.7%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4.1%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5.5%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Sales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5.1%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6.8%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9.4%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5.6%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6.7%</w:t>
            </w:r>
          </w:p>
        </w:tc>
      </w:tr>
      <w:tr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3.2%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5.9%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8.2%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3.9%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5.3%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Operations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4.7%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6.1%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9.8%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5.2%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6.5%</w:t>
            </w:r>
          </w:p>
        </w:tc>
      </w:tr>
      <w:tr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Finance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2.9%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4.8%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7.6%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3.4%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4.7%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HR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3.5%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5.4%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8.1%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4.3%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20"/>
              </w:rPr>
              <w:t>5.3%</w:t>
            </w:r>
          </w:p>
        </w:tc>
      </w:tr>
      <w:tr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Level Avg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3.9%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5.7%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8.6%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4.4%</w:t>
            </w:r>
          </w:p>
        </w:tc>
        <w:tc>
          <w:tcPr>
            <w:tcW w:type="dxa" w:w="1560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5.7%</w:t>
            </w:r>
          </w:p>
        </w:tc>
      </w:tr>
    </w:tbl>
    <w:p/>
    <w:p>
      <w:pPr>
        <w:spacing w:before="40" w:after="240"/>
      </w:pPr>
      <w:r>
        <w:rPr>
          <w:rFonts w:ascii="Calibri" w:hAnsi="Calibri"/>
          <w:i/>
          <w:sz w:val="22"/>
        </w:rPr>
        <w:t>Conclusion: Level L3 records the highest regrettable exit rate across every department (dept range 7.6%-9.8%, level average 8.6%), identifying mid-career L3 as the critical retention risk tier.</w:t>
      </w:r>
    </w:p>
    <w:p>
      <w:pPr>
        <w:spacing w:before="360" w:after="160"/>
      </w:pPr>
      <w:r>
        <w:rPr>
          <w:rFonts w:ascii="Calibri" w:hAnsi="Calibri"/>
          <w:b/>
          <w:color w:val="1F4E79"/>
          <w:sz w:val="32"/>
        </w:rPr>
        <w:t>Q9: What drives early exits more — poor onboarding or lack of promotion?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Exit Reason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of All Exits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Avg Tenure (months)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Regrettable %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Career Advancement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649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27.8%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62.3%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Compensation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478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20.5%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24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58.7%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Manager Relationship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312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13.4%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31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71.2%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Work-Life Balance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241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10.3%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89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41.5%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Onboarding Experience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187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8.0%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22.8%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Role Fit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168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7.2%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53.4%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Relocation / Personal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153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6.6%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42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31.7%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Other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146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6.3%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36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35.1%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Total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2,334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28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52.4%</w:t>
            </w:r>
          </w:p>
        </w:tc>
      </w:tr>
    </w:tbl>
    <w:p/>
    <w:p>
      <w:pPr>
        <w:spacing w:before="40" w:after="240"/>
      </w:pPr>
      <w:r>
        <w:rPr>
          <w:rFonts w:ascii="Calibri" w:hAnsi="Calibri"/>
          <w:i/>
          <w:sz w:val="22"/>
        </w:rPr>
        <w:t>Conclusion: Career advancement is the number one exit reason at 649 cases (27.8%) with 62.3% regrettable rate — over three times the volume of onboarding-related exits (187, 8.0%), confirming promotion gaps drive early exits far more than onboarding quality.</w:t>
      </w:r>
    </w:p>
    <w:p>
      <w:pPr>
        <w:spacing w:before="360" w:after="160"/>
      </w:pPr>
      <w:r>
        <w:rPr>
          <w:rFonts w:ascii="Calibri" w:hAnsi="Calibri"/>
          <w:b/>
          <w:color w:val="1F4E79"/>
          <w:sz w:val="32"/>
        </w:rPr>
        <w:t>Q10: At which levels would compensation raises most effectively plug retention gaps?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1337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Headcount</w:t>
            </w:r>
          </w:p>
        </w:tc>
        <w:tc>
          <w:tcPr>
            <w:tcW w:type="dxa" w:w="1337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Current Avg Compa</w:t>
            </w:r>
          </w:p>
        </w:tc>
        <w:tc>
          <w:tcPr>
            <w:tcW w:type="dxa" w:w="1337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Target Compa</w:t>
            </w:r>
          </w:p>
        </w:tc>
        <w:tc>
          <w:tcPr>
            <w:tcW w:type="dxa" w:w="1337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Compa Gap</w:t>
            </w:r>
          </w:p>
        </w:tc>
        <w:tc>
          <w:tcPr>
            <w:tcW w:type="dxa" w:w="1337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Regrettable Exit Rate</w:t>
            </w:r>
          </w:p>
        </w:tc>
        <w:tc>
          <w:tcPr>
            <w:tcW w:type="dxa" w:w="1337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Pull-Exit Rate</w:t>
            </w:r>
          </w:p>
        </w:tc>
      </w:tr>
      <w:tr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L1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2,340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0.93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0.98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+0.05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3.9%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2.6%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L2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3,126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0.89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0.97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+0.08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5.7%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4.1%</w:t>
            </w:r>
          </w:p>
        </w:tc>
      </w:tr>
      <w:tr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L3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2,418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0.86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0.96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+0.10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8.6%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5.8%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L4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897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0.94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0.99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+0.05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4.4%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sz w:val="20"/>
              </w:rPr>
              <w:t>2.3%</w:t>
            </w:r>
          </w:p>
        </w:tc>
      </w:tr>
      <w:tr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L5+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0.98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1.00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+0.02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3.1%</w:t>
            </w:r>
          </w:p>
        </w:tc>
        <w:tc>
          <w:tcPr>
            <w:tcW w:type="dxa" w:w="1337"/>
            <w:shd w:fill="F2F6FA"/>
          </w:tcPr>
          <w:p>
            <w:r/>
            <w:r>
              <w:rPr>
                <w:rFonts w:ascii="Calibri" w:hAnsi="Calibri"/>
                <w:b w:val="0"/>
                <w:sz w:val="20"/>
              </w:rPr>
              <w:t>1.8%</w:t>
            </w:r>
          </w:p>
        </w:tc>
      </w:tr>
    </w:tbl>
    <w:p/>
    <w:p>
      <w:pPr>
        <w:spacing w:before="40" w:after="240"/>
      </w:pPr>
      <w:r>
        <w:rPr>
          <w:rFonts w:ascii="Calibri" w:hAnsi="Calibri"/>
          <w:i/>
          <w:sz w:val="22"/>
        </w:rPr>
        <w:t>Conclusion: The largest compa gap sits at L2 and L3 (8-10 points below market), where regrettable exits spike to 8.6%; targeted raises at these two levels would address the highest concentration of preventable regrettable turnover.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