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4E79"/>
          <w:sz w:val="52"/>
        </w:rPr>
        <w:t>Fortune 500 Non-Monetary Retention Strategies</w:t>
      </w:r>
    </w:p>
    <w:p>
      <w:pPr>
        <w:jc w:val="center"/>
      </w:pPr>
      <w:r>
        <w:rPr>
          <w:rFonts w:ascii="Calibri" w:hAnsi="Calibri"/>
          <w:b/>
          <w:color w:val="1F4E79"/>
          <w:sz w:val="44"/>
        </w:rPr>
        <w:t>Evidence Playbook</w:t>
      </w:r>
    </w:p>
    <w:p>
      <w:pPr>
        <w:spacing w:before="720"/>
        <w:jc w:val="center"/>
      </w:pPr>
      <w:r>
        <w:rPr>
          <w:rFonts w:ascii="Calibri" w:hAnsi="Calibri"/>
          <w:color w:val="555555"/>
          <w:sz w:val="26"/>
        </w:rPr>
        <w:t>15 Company Case Studies + 6 Zero-Cost Strategies</w:t>
      </w:r>
    </w:p>
    <w:p>
      <w:pPr>
        <w:spacing w:before="480"/>
        <w:jc w:val="center"/>
      </w:pPr>
      <w:r>
        <w:rPr>
          <w:rFonts w:ascii="Calibri" w:hAnsi="Calibri"/>
          <w:color w:val="888888"/>
          <w:sz w:val="22"/>
        </w:rPr>
        <w:t>August 2026</w:t>
      </w:r>
    </w:p>
    <w:p>
      <w:r>
        <w:br w:type="page"/>
      </w:r>
    </w:p>
    <w:p>
      <w:pPr>
        <w:spacing w:before="360" w:after="160"/>
      </w:pPr>
      <w:r>
        <w:rPr>
          <w:rFonts w:ascii="Calibri" w:hAnsi="Calibri"/>
          <w:b/>
          <w:color w:val="1F4E79"/>
          <w:sz w:val="32"/>
        </w:rPr>
        <w:t>Introduction</w:t>
      </w:r>
    </w:p>
    <w:p>
      <w:pPr>
        <w:spacing w:line="276" w:lineRule="auto" w:after="120"/>
      </w:pPr>
      <w:r>
        <w:rPr>
          <w:rFonts w:ascii="Calibri" w:hAnsi="Calibri"/>
          <w:sz w:val="22"/>
        </w:rPr>
        <w:t>This playbook collects 15 evidence-backed, non-monetary retention measures from Fortune 500 companies. Each entry includes the company, industry, specific measure, estimated cost, reported result, and source. The playbook also distills six zero-cost strategies that any organization can deploy immediately. All data is sourced from public reports, case studies, and investor materials.</w:t>
      </w:r>
    </w:p>
    <w:p>
      <w:pPr>
        <w:spacing w:before="360" w:after="160"/>
      </w:pPr>
      <w:r>
        <w:rPr>
          <w:rFonts w:ascii="Calibri" w:hAnsi="Calibri"/>
          <w:b/>
          <w:color w:val="1F4E79"/>
          <w:sz w:val="32"/>
        </w:rPr>
        <w:t>1. Fortune 500 Non-Monetary Retention Measures</w:t>
      </w:r>
    </w:p>
    <w:p>
      <w:pPr>
        <w:spacing w:line="276" w:lineRule="auto" w:after="120"/>
      </w:pPr>
      <w:r>
        <w:rPr>
          <w:rFonts w:ascii="Calibri" w:hAnsi="Calibri"/>
          <w:sz w:val="22"/>
        </w:rPr>
        <w:t>The table below summarizes 15 companies across 9 industries, each deploying retention interventions that do not rely on salary increases. Where cost data is available, it confirms that the most effective measures often carry near-zero incremental cost.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Pr>
          <w:p>
            <w:r/>
            <w:r>
              <w:rPr>
                <w:rFonts w:ascii="Calibri" w:hAnsi="Calibri"/>
                <w:b/>
                <w:color w:val="FFFFFF"/>
                <w:sz w:val="20"/>
              </w:rPr>
              <w:t>Company</w:t>
            </w:r>
          </w:p>
        </w:tc>
        <w:tc>
          <w:tcPr>
            <w:tcW w:type="dxa" w:w="1560"/>
            <w:shd w:fill="1F4E79"/>
          </w:tcPr>
          <w:p>
            <w:r/>
            <w:r>
              <w:rPr>
                <w:rFonts w:ascii="Calibri" w:hAnsi="Calibri"/>
                <w:b/>
                <w:color w:val="FFFFFF"/>
                <w:sz w:val="20"/>
              </w:rPr>
              <w:t>Industry</w:t>
            </w:r>
          </w:p>
        </w:tc>
        <w:tc>
          <w:tcPr>
            <w:tcW w:type="dxa" w:w="1560"/>
            <w:shd w:fill="1F4E79"/>
          </w:tcPr>
          <w:p>
            <w:r/>
            <w:r>
              <w:rPr>
                <w:rFonts w:ascii="Calibri" w:hAnsi="Calibri"/>
                <w:b/>
                <w:color w:val="FFFFFF"/>
                <w:sz w:val="20"/>
              </w:rPr>
              <w:t>Core Measure</w:t>
            </w:r>
          </w:p>
        </w:tc>
        <w:tc>
          <w:tcPr>
            <w:tcW w:type="dxa" w:w="1560"/>
            <w:shd w:fill="1F4E79"/>
          </w:tcPr>
          <w:p>
            <w:r/>
            <w:r>
              <w:rPr>
                <w:rFonts w:ascii="Calibri" w:hAnsi="Calibri"/>
                <w:b/>
                <w:color w:val="FFFFFF"/>
                <w:sz w:val="20"/>
              </w:rPr>
              <w:t>Cost</w:t>
            </w:r>
          </w:p>
        </w:tc>
        <w:tc>
          <w:tcPr>
            <w:tcW w:type="dxa" w:w="1560"/>
            <w:shd w:fill="1F4E79"/>
          </w:tcPr>
          <w:p>
            <w:r/>
            <w:r>
              <w:rPr>
                <w:rFonts w:ascii="Calibri" w:hAnsi="Calibri"/>
                <w:b/>
                <w:color w:val="FFFFFF"/>
                <w:sz w:val="20"/>
              </w:rPr>
              <w:t>Result</w:t>
            </w:r>
          </w:p>
        </w:tc>
        <w:tc>
          <w:tcPr>
            <w:tcW w:type="dxa" w:w="1560"/>
            <w:shd w:fill="1F4E79"/>
          </w:tcPr>
          <w:p>
            <w:r/>
            <w:r>
              <w:rPr>
                <w:rFonts w:ascii="Calibri" w:hAnsi="Calibri"/>
                <w:b/>
                <w:color w:val="FFFFFF"/>
                <w:sz w:val="20"/>
              </w:rPr>
              <w:t>Source</w:t>
            </w:r>
          </w:p>
        </w:tc>
      </w:tr>
      <w:tr>
        <w:tc>
          <w:tcPr>
            <w:tcW w:type="dxa" w:w="1560"/>
            <w:shd w:fill="F2F6FA"/>
          </w:tcPr>
          <w:p>
            <w:r/>
            <w:r>
              <w:rPr>
                <w:rFonts w:ascii="Calibri" w:hAnsi="Calibri"/>
                <w:b w:val="0"/>
                <w:sz w:val="20"/>
              </w:rPr>
              <w:t>Google</w:t>
            </w:r>
          </w:p>
        </w:tc>
        <w:tc>
          <w:tcPr>
            <w:tcW w:type="dxa" w:w="1560"/>
            <w:shd w:fill="F2F6FA"/>
          </w:tcPr>
          <w:p>
            <w:r/>
            <w:r>
              <w:rPr>
                <w:rFonts w:ascii="Calibri" w:hAnsi="Calibri"/>
                <w:b w:val="0"/>
                <w:sz w:val="20"/>
              </w:rPr>
              <w:t>Technology</w:t>
            </w:r>
          </w:p>
        </w:tc>
        <w:tc>
          <w:tcPr>
            <w:tcW w:type="dxa" w:w="1560"/>
            <w:shd w:fill="F2F6FA"/>
          </w:tcPr>
          <w:p>
            <w:r/>
            <w:r>
              <w:rPr>
                <w:rFonts w:ascii="Calibri" w:hAnsi="Calibri"/>
                <w:b w:val="0"/>
                <w:sz w:val="20"/>
              </w:rPr>
              <w:t>New-hire "5-item manager checklist" — OKR discussion, buddy assignment, social network building, monthly check-in, encourage questions</w:t>
            </w:r>
          </w:p>
        </w:tc>
        <w:tc>
          <w:tcPr>
            <w:tcW w:type="dxa" w:w="1560"/>
            <w:shd w:fill="F2F6FA"/>
          </w:tcPr>
          <w:p>
            <w:r/>
            <w:r>
              <w:rPr>
                <w:rFonts w:ascii="Calibri" w:hAnsi="Calibri"/>
                <w:b w:val="0"/>
                <w:sz w:val="20"/>
              </w:rPr>
              <w:t>$0</w:t>
            </w:r>
          </w:p>
        </w:tc>
        <w:tc>
          <w:tcPr>
            <w:tcW w:type="dxa" w:w="1560"/>
            <w:shd w:fill="F2F6FA"/>
          </w:tcPr>
          <w:p>
            <w:r/>
            <w:r>
              <w:rPr>
                <w:rFonts w:ascii="Calibri" w:hAnsi="Calibri"/>
                <w:b w:val="0"/>
                <w:sz w:val="20"/>
              </w:rPr>
              <w:t>Productivity +25% for new hires</w:t>
            </w:r>
          </w:p>
        </w:tc>
        <w:tc>
          <w:tcPr>
            <w:tcW w:type="dxa" w:w="1560"/>
            <w:shd w:fill="F2F6FA"/>
          </w:tcPr>
          <w:p>
            <w:r/>
            <w:r>
              <w:rPr>
                <w:rFonts w:ascii="Calibri" w:hAnsi="Calibri"/>
                <w:b w:val="0"/>
                <w:sz w:val="20"/>
              </w:rPr>
              <w:t>re:Work / Work Rules!</w:t>
            </w:r>
          </w:p>
        </w:tc>
      </w:tr>
      <w:tr>
        <w:tc>
          <w:tcPr>
            <w:tcW w:type="dxa" w:w="1560"/>
          </w:tcPr>
          <w:p>
            <w:r/>
            <w:r>
              <w:rPr>
                <w:rFonts w:ascii="Calibri" w:hAnsi="Calibri"/>
                <w:b w:val="0"/>
                <w:sz w:val="20"/>
              </w:rPr>
              <w:t>NVIDIA</w:t>
            </w:r>
          </w:p>
        </w:tc>
        <w:tc>
          <w:tcPr>
            <w:tcW w:type="dxa" w:w="1560"/>
          </w:tcPr>
          <w:p>
            <w:r/>
            <w:r>
              <w:rPr>
                <w:rFonts w:ascii="Calibri" w:hAnsi="Calibri"/>
                <w:b w:val="0"/>
                <w:sz w:val="20"/>
              </w:rPr>
              <w:t>Semiconductors</w:t>
            </w:r>
          </w:p>
        </w:tc>
        <w:tc>
          <w:tcPr>
            <w:tcW w:type="dxa" w:w="1560"/>
          </w:tcPr>
          <w:p>
            <w:r/>
            <w:r>
              <w:rPr>
                <w:rFonts w:ascii="Calibri" w:hAnsi="Calibri"/>
                <w:b w:val="0"/>
                <w:sz w:val="20"/>
              </w:rPr>
              <w:t>Transparent career pathways — every employee knows the next three promotion steps</w:t>
            </w:r>
          </w:p>
        </w:tc>
        <w:tc>
          <w:tcPr>
            <w:tcW w:type="dxa" w:w="1560"/>
          </w:tcPr>
          <w:p>
            <w:r/>
            <w:r>
              <w:rPr>
                <w:rFonts w:ascii="Calibri" w:hAnsi="Calibri"/>
                <w:b w:val="0"/>
                <w:sz w:val="20"/>
              </w:rPr>
              <w:t>$0</w:t>
            </w:r>
          </w:p>
        </w:tc>
        <w:tc>
          <w:tcPr>
            <w:tcW w:type="dxa" w:w="1560"/>
          </w:tcPr>
          <w:p>
            <w:r/>
            <w:r>
              <w:rPr>
                <w:rFonts w:ascii="Calibri" w:hAnsi="Calibri"/>
                <w:b w:val="0"/>
                <w:sz w:val="20"/>
              </w:rPr>
              <w:t>Voluntary turnover 2-3% vs industry average 13%</w:t>
            </w:r>
          </w:p>
        </w:tc>
        <w:tc>
          <w:tcPr>
            <w:tcW w:type="dxa" w:w="1560"/>
          </w:tcPr>
          <w:p>
            <w:r/>
            <w:r>
              <w:rPr>
                <w:rFonts w:ascii="Calibri" w:hAnsi="Calibri"/>
                <w:b w:val="0"/>
                <w:sz w:val="20"/>
              </w:rPr>
              <w:t>Public investor reports</w:t>
            </w:r>
          </w:p>
        </w:tc>
      </w:tr>
      <w:tr>
        <w:tc>
          <w:tcPr>
            <w:tcW w:type="dxa" w:w="1560"/>
            <w:shd w:fill="F2F6FA"/>
          </w:tcPr>
          <w:p>
            <w:r/>
            <w:r>
              <w:rPr>
                <w:rFonts w:ascii="Calibri" w:hAnsi="Calibri"/>
                <w:b w:val="0"/>
                <w:sz w:val="20"/>
              </w:rPr>
              <w:t>Cisco</w:t>
            </w:r>
          </w:p>
        </w:tc>
        <w:tc>
          <w:tcPr>
            <w:tcW w:type="dxa" w:w="1560"/>
            <w:shd w:fill="F2F6FA"/>
          </w:tcPr>
          <w:p>
            <w:r/>
            <w:r>
              <w:rPr>
                <w:rFonts w:ascii="Calibri" w:hAnsi="Calibri"/>
                <w:b w:val="0"/>
                <w:sz w:val="20"/>
              </w:rPr>
              <w:t>Networking</w:t>
            </w:r>
          </w:p>
        </w:tc>
        <w:tc>
          <w:tcPr>
            <w:tcW w:type="dxa" w:w="1560"/>
            <w:shd w:fill="F2F6FA"/>
          </w:tcPr>
          <w:p>
            <w:r/>
            <w:r>
              <w:rPr>
                <w:rFonts w:ascii="Calibri" w:hAnsi="Calibri"/>
                <w:b w:val="0"/>
                <w:sz w:val="20"/>
              </w:rPr>
              <w:t>"Connected Recognition" — enterprise-wide instant peer recognition platform</w:t>
            </w:r>
          </w:p>
        </w:tc>
        <w:tc>
          <w:tcPr>
            <w:tcW w:type="dxa" w:w="1560"/>
            <w:shd w:fill="F2F6FA"/>
          </w:tcPr>
          <w:p>
            <w:r/>
            <w:r>
              <w:rPr>
                <w:rFonts w:ascii="Calibri" w:hAnsi="Calibri"/>
                <w:b w:val="0"/>
                <w:sz w:val="20"/>
              </w:rPr>
              <w:t>~1% of payroll</w:t>
            </w:r>
          </w:p>
        </w:tc>
        <w:tc>
          <w:tcPr>
            <w:tcW w:type="dxa" w:w="1560"/>
            <w:shd w:fill="F2F6FA"/>
          </w:tcPr>
          <w:p>
            <w:r/>
            <w:r>
              <w:rPr>
                <w:rFonts w:ascii="Calibri" w:hAnsi="Calibri"/>
                <w:b w:val="0"/>
                <w:sz w:val="20"/>
              </w:rPr>
              <w:t>90% of employees recognized; turnover rate declined</w:t>
            </w:r>
          </w:p>
        </w:tc>
        <w:tc>
          <w:tcPr>
            <w:tcW w:type="dxa" w:w="1560"/>
            <w:shd w:fill="F2F6FA"/>
          </w:tcPr>
          <w:p>
            <w:r/>
            <w:r>
              <w:rPr>
                <w:rFonts w:ascii="Calibri" w:hAnsi="Calibri"/>
                <w:b w:val="0"/>
                <w:sz w:val="20"/>
              </w:rPr>
              <w:t>Workhuman case study</w:t>
            </w:r>
          </w:p>
        </w:tc>
      </w:tr>
      <w:tr>
        <w:tc>
          <w:tcPr>
            <w:tcW w:type="dxa" w:w="1560"/>
          </w:tcPr>
          <w:p>
            <w:r/>
            <w:r>
              <w:rPr>
                <w:rFonts w:ascii="Calibri" w:hAnsi="Calibri"/>
                <w:b w:val="0"/>
                <w:sz w:val="20"/>
              </w:rPr>
              <w:t>Hilton</w:t>
            </w:r>
          </w:p>
        </w:tc>
        <w:tc>
          <w:tcPr>
            <w:tcW w:type="dxa" w:w="1560"/>
          </w:tcPr>
          <w:p>
            <w:r/>
            <w:r>
              <w:rPr>
                <w:rFonts w:ascii="Calibri" w:hAnsi="Calibri"/>
                <w:b w:val="0"/>
                <w:sz w:val="20"/>
              </w:rPr>
              <w:t>Hospitality</w:t>
            </w:r>
          </w:p>
        </w:tc>
        <w:tc>
          <w:tcPr>
            <w:tcW w:type="dxa" w:w="1560"/>
          </w:tcPr>
          <w:p>
            <w:r/>
            <w:r>
              <w:rPr>
                <w:rFonts w:ascii="Calibri" w:hAnsi="Calibri"/>
                <w:b w:val="0"/>
                <w:sz w:val="20"/>
              </w:rPr>
              <w:t>"Thrive at Hilton" — holistic recognition, wellness flexibility, growth planning</w:t>
            </w:r>
          </w:p>
        </w:tc>
        <w:tc>
          <w:tcPr>
            <w:tcW w:type="dxa" w:w="1560"/>
          </w:tcPr>
          <w:p>
            <w:r/>
            <w:r>
              <w:rPr>
                <w:rFonts w:ascii="Calibri" w:hAnsi="Calibri"/>
                <w:b w:val="0"/>
                <w:sz w:val="20"/>
              </w:rPr>
              <w:t>Non-monetary program</w:t>
            </w:r>
          </w:p>
        </w:tc>
        <w:tc>
          <w:tcPr>
            <w:tcW w:type="dxa" w:w="1560"/>
          </w:tcPr>
          <w:p>
            <w:r/>
            <w:r>
              <w:rPr>
                <w:rFonts w:ascii="Calibri" w:hAnsi="Calibri"/>
                <w:b w:val="0"/>
                <w:sz w:val="20"/>
              </w:rPr>
              <w:t>Turnover at half the industry average</w:t>
            </w:r>
          </w:p>
        </w:tc>
        <w:tc>
          <w:tcPr>
            <w:tcW w:type="dxa" w:w="1560"/>
          </w:tcPr>
          <w:p>
            <w:r/>
            <w:r>
              <w:rPr>
                <w:rFonts w:ascii="Calibri" w:hAnsi="Calibri"/>
                <w:b w:val="0"/>
                <w:sz w:val="20"/>
              </w:rPr>
              <w:t>Fortune / Great Place to Work</w:t>
            </w:r>
          </w:p>
        </w:tc>
      </w:tr>
      <w:tr>
        <w:tc>
          <w:tcPr>
            <w:tcW w:type="dxa" w:w="1560"/>
            <w:shd w:fill="F2F6FA"/>
          </w:tcPr>
          <w:p>
            <w:r/>
            <w:r>
              <w:rPr>
                <w:rFonts w:ascii="Calibri" w:hAnsi="Calibri"/>
                <w:b w:val="0"/>
                <w:sz w:val="20"/>
              </w:rPr>
              <w:t>Marriott</w:t>
            </w:r>
          </w:p>
        </w:tc>
        <w:tc>
          <w:tcPr>
            <w:tcW w:type="dxa" w:w="1560"/>
            <w:shd w:fill="F2F6FA"/>
          </w:tcPr>
          <w:p>
            <w:r/>
            <w:r>
              <w:rPr>
                <w:rFonts w:ascii="Calibri" w:hAnsi="Calibri"/>
                <w:b w:val="0"/>
                <w:sz w:val="20"/>
              </w:rPr>
              <w:t>Hospitality</w:t>
            </w:r>
          </w:p>
        </w:tc>
        <w:tc>
          <w:tcPr>
            <w:tcW w:type="dxa" w:w="1560"/>
            <w:shd w:fill="F2F6FA"/>
          </w:tcPr>
          <w:p>
            <w:r/>
            <w:r>
              <w:rPr>
                <w:rFonts w:ascii="Calibri" w:hAnsi="Calibri"/>
                <w:b w:val="0"/>
                <w:sz w:val="20"/>
              </w:rPr>
              <w:t>Flexible scheduling, systematic stay interviews, rebuilt recognition framework</w:t>
            </w:r>
          </w:p>
        </w:tc>
        <w:tc>
          <w:tcPr>
            <w:tcW w:type="dxa" w:w="1560"/>
            <w:shd w:fill="F2F6FA"/>
          </w:tcPr>
          <w:p>
            <w:r/>
            <w:r>
              <w:rPr>
                <w:rFonts w:ascii="Calibri" w:hAnsi="Calibri"/>
                <w:b w:val="0"/>
                <w:sz w:val="20"/>
              </w:rPr>
              <w:t>$0</w:t>
            </w:r>
          </w:p>
        </w:tc>
        <w:tc>
          <w:tcPr>
            <w:tcW w:type="dxa" w:w="1560"/>
            <w:shd w:fill="F2F6FA"/>
          </w:tcPr>
          <w:p>
            <w:r/>
            <w:r>
              <w:rPr>
                <w:rFonts w:ascii="Calibri" w:hAnsi="Calibri"/>
                <w:b w:val="0"/>
                <w:sz w:val="20"/>
              </w:rPr>
              <w:t>Resolved record-high turnover wave</w:t>
            </w:r>
          </w:p>
        </w:tc>
        <w:tc>
          <w:tcPr>
            <w:tcW w:type="dxa" w:w="1560"/>
            <w:shd w:fill="F2F6FA"/>
          </w:tcPr>
          <w:p>
            <w:r/>
            <w:r>
              <w:rPr>
                <w:rFonts w:ascii="Calibri" w:hAnsi="Calibri"/>
                <w:b w:val="0"/>
                <w:sz w:val="20"/>
              </w:rPr>
              <w:t>Fortune 2024</w:t>
            </w:r>
          </w:p>
        </w:tc>
      </w:tr>
      <w:tr>
        <w:tc>
          <w:tcPr>
            <w:tcW w:type="dxa" w:w="1560"/>
          </w:tcPr>
          <w:p>
            <w:r/>
            <w:r>
              <w:rPr>
                <w:rFonts w:ascii="Calibri" w:hAnsi="Calibri"/>
                <w:b w:val="0"/>
                <w:sz w:val="20"/>
              </w:rPr>
              <w:t>Adobe</w:t>
            </w:r>
          </w:p>
        </w:tc>
        <w:tc>
          <w:tcPr>
            <w:tcW w:type="dxa" w:w="1560"/>
          </w:tcPr>
          <w:p>
            <w:r/>
            <w:r>
              <w:rPr>
                <w:rFonts w:ascii="Calibri" w:hAnsi="Calibri"/>
                <w:b w:val="0"/>
                <w:sz w:val="20"/>
              </w:rPr>
              <w:t>Software</w:t>
            </w:r>
          </w:p>
        </w:tc>
        <w:tc>
          <w:tcPr>
            <w:tcW w:type="dxa" w:w="1560"/>
          </w:tcPr>
          <w:p>
            <w:r/>
            <w:r>
              <w:rPr>
                <w:rFonts w:ascii="Calibri" w:hAnsi="Calibri"/>
                <w:b w:val="0"/>
                <w:sz w:val="20"/>
              </w:rPr>
              <w:t>"Check-in" conversations replace annual reviews — regular stay interviews</w:t>
            </w:r>
          </w:p>
        </w:tc>
        <w:tc>
          <w:tcPr>
            <w:tcW w:type="dxa" w:w="1560"/>
          </w:tcPr>
          <w:p>
            <w:r/>
            <w:r>
              <w:rPr>
                <w:rFonts w:ascii="Calibri" w:hAnsi="Calibri"/>
                <w:b w:val="0"/>
                <w:sz w:val="20"/>
              </w:rPr>
              <w:t>$0 (manager: ~1 hr)</w:t>
            </w:r>
          </w:p>
        </w:tc>
        <w:tc>
          <w:tcPr>
            <w:tcW w:type="dxa" w:w="1560"/>
          </w:tcPr>
          <w:p>
            <w:r/>
            <w:r>
              <w:rPr>
                <w:rFonts w:ascii="Calibri" w:hAnsi="Calibri"/>
                <w:b w:val="0"/>
                <w:sz w:val="20"/>
              </w:rPr>
              <w:t>Continuous feedback replaces ritualistic appraisal</w:t>
            </w:r>
          </w:p>
        </w:tc>
        <w:tc>
          <w:tcPr>
            <w:tcW w:type="dxa" w:w="1560"/>
          </w:tcPr>
          <w:p>
            <w:r/>
            <w:r>
              <w:rPr>
                <w:rFonts w:ascii="Calibri" w:hAnsi="Calibri"/>
                <w:b w:val="0"/>
                <w:sz w:val="20"/>
              </w:rPr>
              <w:t>SHRM case study</w:t>
            </w:r>
          </w:p>
        </w:tc>
      </w:tr>
      <w:tr>
        <w:tc>
          <w:tcPr>
            <w:tcW w:type="dxa" w:w="1560"/>
            <w:shd w:fill="F2F6FA"/>
          </w:tcPr>
          <w:p>
            <w:r/>
            <w:r>
              <w:rPr>
                <w:rFonts w:ascii="Calibri" w:hAnsi="Calibri"/>
                <w:b w:val="0"/>
                <w:sz w:val="20"/>
              </w:rPr>
              <w:t>Microsoft</w:t>
            </w:r>
          </w:p>
        </w:tc>
        <w:tc>
          <w:tcPr>
            <w:tcW w:type="dxa" w:w="1560"/>
            <w:shd w:fill="F2F6FA"/>
          </w:tcPr>
          <w:p>
            <w:r/>
            <w:r>
              <w:rPr>
                <w:rFonts w:ascii="Calibri" w:hAnsi="Calibri"/>
                <w:b w:val="0"/>
                <w:sz w:val="20"/>
              </w:rPr>
              <w:t>Technology</w:t>
            </w:r>
          </w:p>
        </w:tc>
        <w:tc>
          <w:tcPr>
            <w:tcW w:type="dxa" w:w="1560"/>
            <w:shd w:fill="F2F6FA"/>
          </w:tcPr>
          <w:p>
            <w:r/>
            <w:r>
              <w:rPr>
                <w:rFonts w:ascii="Calibri" w:hAnsi="Calibri"/>
                <w:b w:val="0"/>
                <w:sz w:val="20"/>
              </w:rPr>
              <w:t>Structured 30-60-90 day onboarding; tiered retention by technical vs non-technical roles</w:t>
            </w:r>
          </w:p>
        </w:tc>
        <w:tc>
          <w:tcPr>
            <w:tcW w:type="dxa" w:w="1560"/>
            <w:shd w:fill="F2F6FA"/>
          </w:tcPr>
          <w:p>
            <w:r/>
            <w:r>
              <w:rPr>
                <w:rFonts w:ascii="Calibri" w:hAnsi="Calibri"/>
                <w:b w:val="0"/>
                <w:sz w:val="20"/>
              </w:rPr>
              <w:t>~$500/person</w:t>
            </w:r>
          </w:p>
        </w:tc>
        <w:tc>
          <w:tcPr>
            <w:tcW w:type="dxa" w:w="1560"/>
            <w:shd w:fill="F2F6FA"/>
          </w:tcPr>
          <w:p>
            <w:r/>
            <w:r>
              <w:rPr>
                <w:rFonts w:ascii="Calibri" w:hAnsi="Calibri"/>
                <w:b w:val="0"/>
                <w:sz w:val="20"/>
              </w:rPr>
              <w:t>Tiered strategy saved 62% of budget</w:t>
            </w:r>
          </w:p>
        </w:tc>
        <w:tc>
          <w:tcPr>
            <w:tcW w:type="dxa" w:w="1560"/>
            <w:shd w:fill="F2F6FA"/>
          </w:tcPr>
          <w:p>
            <w:r/>
            <w:r>
              <w:rPr>
                <w:rFonts w:ascii="Calibri" w:hAnsi="Calibri"/>
                <w:b w:val="0"/>
                <w:sz w:val="20"/>
              </w:rPr>
              <w:t>HR Analytics report</w:t>
            </w:r>
          </w:p>
        </w:tc>
      </w:tr>
      <w:tr>
        <w:tc>
          <w:tcPr>
            <w:tcW w:type="dxa" w:w="1560"/>
          </w:tcPr>
          <w:p>
            <w:r/>
            <w:r>
              <w:rPr>
                <w:rFonts w:ascii="Calibri" w:hAnsi="Calibri"/>
                <w:b w:val="0"/>
                <w:sz w:val="20"/>
              </w:rPr>
              <w:t>IBM</w:t>
            </w:r>
          </w:p>
        </w:tc>
        <w:tc>
          <w:tcPr>
            <w:tcW w:type="dxa" w:w="1560"/>
          </w:tcPr>
          <w:p>
            <w:r/>
            <w:r>
              <w:rPr>
                <w:rFonts w:ascii="Calibri" w:hAnsi="Calibri"/>
                <w:b w:val="0"/>
                <w:sz w:val="20"/>
              </w:rPr>
              <w:t>IT Services</w:t>
            </w:r>
          </w:p>
        </w:tc>
        <w:tc>
          <w:tcPr>
            <w:tcW w:type="dxa" w:w="1560"/>
          </w:tcPr>
          <w:p>
            <w:r/>
            <w:r>
              <w:rPr>
                <w:rFonts w:ascii="Calibri" w:hAnsi="Calibri"/>
                <w:b w:val="0"/>
                <w:sz w:val="20"/>
              </w:rPr>
              <w:t>Onboarding acceleration program + risk-tiered retention intervention</w:t>
            </w:r>
          </w:p>
        </w:tc>
        <w:tc>
          <w:tcPr>
            <w:tcW w:type="dxa" w:w="1560"/>
          </w:tcPr>
          <w:p>
            <w:r/>
            <w:r>
              <w:rPr>
                <w:rFonts w:ascii="Calibri" w:hAnsi="Calibri"/>
                <w:b w:val="0"/>
                <w:sz w:val="20"/>
              </w:rPr>
              <w:t>N/A</w:t>
            </w:r>
          </w:p>
        </w:tc>
        <w:tc>
          <w:tcPr>
            <w:tcW w:type="dxa" w:w="1560"/>
          </w:tcPr>
          <w:p>
            <w:r/>
            <w:r>
              <w:rPr>
                <w:rFonts w:ascii="Calibri" w:hAnsi="Calibri"/>
                <w:b w:val="0"/>
                <w:sz w:val="20"/>
              </w:rPr>
              <w:t>Time-to-productivity improved 30%</w:t>
            </w:r>
          </w:p>
        </w:tc>
        <w:tc>
          <w:tcPr>
            <w:tcW w:type="dxa" w:w="1560"/>
          </w:tcPr>
          <w:p>
            <w:r/>
            <w:r>
              <w:rPr>
                <w:rFonts w:ascii="Calibri" w:hAnsi="Calibri"/>
                <w:b w:val="0"/>
                <w:sz w:val="20"/>
              </w:rPr>
              <w:t>IB case study</w:t>
            </w:r>
          </w:p>
        </w:tc>
      </w:tr>
      <w:tr>
        <w:tc>
          <w:tcPr>
            <w:tcW w:type="dxa" w:w="1560"/>
            <w:shd w:fill="F2F6FA"/>
          </w:tcPr>
          <w:p>
            <w:r/>
            <w:r>
              <w:rPr>
                <w:rFonts w:ascii="Calibri" w:hAnsi="Calibri"/>
                <w:b w:val="0"/>
                <w:sz w:val="20"/>
              </w:rPr>
              <w:t>Accenture</w:t>
            </w:r>
          </w:p>
        </w:tc>
        <w:tc>
          <w:tcPr>
            <w:tcW w:type="dxa" w:w="1560"/>
            <w:shd w:fill="F2F6FA"/>
          </w:tcPr>
          <w:p>
            <w:r/>
            <w:r>
              <w:rPr>
                <w:rFonts w:ascii="Calibri" w:hAnsi="Calibri"/>
                <w:b w:val="0"/>
                <w:sz w:val="20"/>
              </w:rPr>
              <w:t>Consulting</w:t>
            </w:r>
          </w:p>
        </w:tc>
        <w:tc>
          <w:tcPr>
            <w:tcW w:type="dxa" w:w="1560"/>
            <w:shd w:fill="F2F6FA"/>
          </w:tcPr>
          <w:p>
            <w:r/>
            <w:r>
              <w:rPr>
                <w:rFonts w:ascii="Calibri" w:hAnsi="Calibri"/>
                <w:b w:val="0"/>
                <w:sz w:val="20"/>
              </w:rPr>
              <w:t>85% of employees recognized; parental leave doubled</w:t>
            </w:r>
          </w:p>
        </w:tc>
        <w:tc>
          <w:tcPr>
            <w:tcW w:type="dxa" w:w="1560"/>
            <w:shd w:fill="F2F6FA"/>
          </w:tcPr>
          <w:p>
            <w:r/>
            <w:r>
              <w:rPr>
                <w:rFonts w:ascii="Calibri" w:hAnsi="Calibri"/>
                <w:b w:val="0"/>
                <w:sz w:val="20"/>
              </w:rPr>
              <w:t>N/A</w:t>
            </w:r>
          </w:p>
        </w:tc>
        <w:tc>
          <w:tcPr>
            <w:tcW w:type="dxa" w:w="1560"/>
            <w:shd w:fill="F2F6FA"/>
          </w:tcPr>
          <w:p>
            <w:r/>
            <w:r>
              <w:rPr>
                <w:rFonts w:ascii="Calibri" w:hAnsi="Calibri"/>
                <w:b w:val="0"/>
                <w:sz w:val="20"/>
              </w:rPr>
              <w:t>New-mother turnover dropped 40%</w:t>
            </w:r>
          </w:p>
        </w:tc>
        <w:tc>
          <w:tcPr>
            <w:tcW w:type="dxa" w:w="1560"/>
            <w:shd w:fill="F2F6FA"/>
          </w:tcPr>
          <w:p>
            <w:r/>
            <w:r>
              <w:rPr>
                <w:rFonts w:ascii="Calibri" w:hAnsi="Calibri"/>
                <w:b w:val="0"/>
                <w:sz w:val="20"/>
              </w:rPr>
              <w:t>Internal data</w:t>
            </w:r>
          </w:p>
        </w:tc>
      </w:tr>
      <w:tr>
        <w:tc>
          <w:tcPr>
            <w:tcW w:type="dxa" w:w="1560"/>
          </w:tcPr>
          <w:p>
            <w:r/>
            <w:r>
              <w:rPr>
                <w:rFonts w:ascii="Calibri" w:hAnsi="Calibri"/>
                <w:b w:val="0"/>
                <w:sz w:val="20"/>
              </w:rPr>
              <w:t>Apple</w:t>
            </w:r>
          </w:p>
        </w:tc>
        <w:tc>
          <w:tcPr>
            <w:tcW w:type="dxa" w:w="1560"/>
          </w:tcPr>
          <w:p>
            <w:r/>
            <w:r>
              <w:rPr>
                <w:rFonts w:ascii="Calibri" w:hAnsi="Calibri"/>
                <w:b w:val="0"/>
                <w:sz w:val="20"/>
              </w:rPr>
              <w:t>Technology</w:t>
            </w:r>
          </w:p>
        </w:tc>
        <w:tc>
          <w:tcPr>
            <w:tcW w:type="dxa" w:w="1560"/>
          </w:tcPr>
          <w:p>
            <w:r/>
            <w:r>
              <w:rPr>
                <w:rFonts w:ascii="Calibri" w:hAnsi="Calibri"/>
                <w:b w:val="0"/>
                <w:sz w:val="20"/>
              </w:rPr>
              <w:t>Apple University — cultural immersion + mission-driven identity</w:t>
            </w:r>
          </w:p>
        </w:tc>
        <w:tc>
          <w:tcPr>
            <w:tcW w:type="dxa" w:w="1560"/>
          </w:tcPr>
          <w:p>
            <w:r/>
            <w:r>
              <w:rPr>
                <w:rFonts w:ascii="Calibri" w:hAnsi="Calibri"/>
                <w:b w:val="0"/>
                <w:sz w:val="20"/>
              </w:rPr>
              <w:t>N/A</w:t>
            </w:r>
          </w:p>
        </w:tc>
        <w:tc>
          <w:tcPr>
            <w:tcW w:type="dxa" w:w="1560"/>
          </w:tcPr>
          <w:p>
            <w:r/>
            <w:r>
              <w:rPr>
                <w:rFonts w:ascii="Calibri" w:hAnsi="Calibri"/>
                <w:b w:val="0"/>
                <w:sz w:val="20"/>
              </w:rPr>
              <w:t>Strong employee identification with "change the world" purpose</w:t>
            </w:r>
          </w:p>
        </w:tc>
        <w:tc>
          <w:tcPr>
            <w:tcW w:type="dxa" w:w="1560"/>
          </w:tcPr>
          <w:p>
            <w:r/>
            <w:r>
              <w:rPr>
                <w:rFonts w:ascii="Calibri" w:hAnsi="Calibri"/>
                <w:b w:val="0"/>
                <w:sz w:val="20"/>
              </w:rPr>
              <w:t>Public descriptions</w:t>
            </w:r>
          </w:p>
        </w:tc>
      </w:tr>
      <w:tr>
        <w:tc>
          <w:tcPr>
            <w:tcW w:type="dxa" w:w="1560"/>
            <w:shd w:fill="F2F6FA"/>
          </w:tcPr>
          <w:p>
            <w:r/>
            <w:r>
              <w:rPr>
                <w:rFonts w:ascii="Calibri" w:hAnsi="Calibri"/>
                <w:b w:val="0"/>
                <w:sz w:val="20"/>
              </w:rPr>
              <w:t>Salesforce</w:t>
            </w:r>
          </w:p>
        </w:tc>
        <w:tc>
          <w:tcPr>
            <w:tcW w:type="dxa" w:w="1560"/>
            <w:shd w:fill="F2F6FA"/>
          </w:tcPr>
          <w:p>
            <w:r/>
            <w:r>
              <w:rPr>
                <w:rFonts w:ascii="Calibri" w:hAnsi="Calibri"/>
                <w:b w:val="0"/>
                <w:sz w:val="20"/>
              </w:rPr>
              <w:t>SaaS</w:t>
            </w:r>
          </w:p>
        </w:tc>
        <w:tc>
          <w:tcPr>
            <w:tcW w:type="dxa" w:w="1560"/>
            <w:shd w:fill="F2F6FA"/>
          </w:tcPr>
          <w:p>
            <w:r/>
            <w:r>
              <w:rPr>
                <w:rFonts w:ascii="Calibri" w:hAnsi="Calibri"/>
                <w:b w:val="0"/>
                <w:sz w:val="20"/>
              </w:rPr>
              <w:t>Ohana culture (family belonging) + Trailhead self-directed learning platform</w:t>
            </w:r>
          </w:p>
        </w:tc>
        <w:tc>
          <w:tcPr>
            <w:tcW w:type="dxa" w:w="1560"/>
            <w:shd w:fill="F2F6FA"/>
          </w:tcPr>
          <w:p>
            <w:r/>
            <w:r>
              <w:rPr>
                <w:rFonts w:ascii="Calibri" w:hAnsi="Calibri"/>
                <w:b w:val="0"/>
                <w:sz w:val="20"/>
              </w:rPr>
              <w:t>N/A</w:t>
            </w:r>
          </w:p>
        </w:tc>
        <w:tc>
          <w:tcPr>
            <w:tcW w:type="dxa" w:w="1560"/>
            <w:shd w:fill="F2F6FA"/>
          </w:tcPr>
          <w:p>
            <w:r/>
            <w:r>
              <w:rPr>
                <w:rFonts w:ascii="Calibri" w:hAnsi="Calibri"/>
                <w:b w:val="0"/>
                <w:sz w:val="20"/>
              </w:rPr>
              <w:t>High engagement scores</w:t>
            </w:r>
          </w:p>
        </w:tc>
        <w:tc>
          <w:tcPr>
            <w:tcW w:type="dxa" w:w="1560"/>
            <w:shd w:fill="F2F6FA"/>
          </w:tcPr>
          <w:p>
            <w:r/>
            <w:r>
              <w:rPr>
                <w:rFonts w:ascii="Calibri" w:hAnsi="Calibri"/>
                <w:b w:val="0"/>
                <w:sz w:val="20"/>
              </w:rPr>
              <w:t>Public documentation</w:t>
            </w:r>
          </w:p>
        </w:tc>
      </w:tr>
      <w:tr>
        <w:tc>
          <w:tcPr>
            <w:tcW w:type="dxa" w:w="1560"/>
          </w:tcPr>
          <w:p>
            <w:r/>
            <w:r>
              <w:rPr>
                <w:rFonts w:ascii="Calibri" w:hAnsi="Calibri"/>
                <w:b w:val="0"/>
                <w:sz w:val="20"/>
              </w:rPr>
              <w:t>Amazon</w:t>
            </w:r>
          </w:p>
        </w:tc>
        <w:tc>
          <w:tcPr>
            <w:tcW w:type="dxa" w:w="1560"/>
          </w:tcPr>
          <w:p>
            <w:r/>
            <w:r>
              <w:rPr>
                <w:rFonts w:ascii="Calibri" w:hAnsi="Calibri"/>
                <w:b w:val="0"/>
                <w:sz w:val="20"/>
              </w:rPr>
              <w:t>E-commerce</w:t>
            </w:r>
          </w:p>
        </w:tc>
        <w:tc>
          <w:tcPr>
            <w:tcW w:type="dxa" w:w="1560"/>
          </w:tcPr>
          <w:p>
            <w:r/>
            <w:r>
              <w:rPr>
                <w:rFonts w:ascii="Calibri" w:hAnsi="Calibri"/>
                <w:b w:val="0"/>
                <w:sz w:val="20"/>
              </w:rPr>
              <w:t>Day 1 structured onboarding + Leadership Principles as shared cultural language</w:t>
            </w:r>
          </w:p>
        </w:tc>
        <w:tc>
          <w:tcPr>
            <w:tcW w:type="dxa" w:w="1560"/>
          </w:tcPr>
          <w:p>
            <w:r/>
            <w:r>
              <w:rPr>
                <w:rFonts w:ascii="Calibri" w:hAnsi="Calibri"/>
                <w:b w:val="0"/>
                <w:sz w:val="20"/>
              </w:rPr>
              <w:t>$0</w:t>
            </w:r>
          </w:p>
        </w:tc>
        <w:tc>
          <w:tcPr>
            <w:tcW w:type="dxa" w:w="1560"/>
          </w:tcPr>
          <w:p>
            <w:r/>
            <w:r>
              <w:rPr>
                <w:rFonts w:ascii="Calibri" w:hAnsi="Calibri"/>
                <w:b w:val="0"/>
                <w:sz w:val="20"/>
              </w:rPr>
              <w:t>Cultural consistency at scale</w:t>
            </w:r>
          </w:p>
        </w:tc>
        <w:tc>
          <w:tcPr>
            <w:tcW w:type="dxa" w:w="1560"/>
          </w:tcPr>
          <w:p>
            <w:r/>
            <w:r>
              <w:rPr>
                <w:rFonts w:ascii="Calibri" w:hAnsi="Calibri"/>
                <w:b w:val="0"/>
                <w:sz w:val="20"/>
              </w:rPr>
              <w:t>Public documentation</w:t>
            </w:r>
          </w:p>
        </w:tc>
      </w:tr>
      <w:tr>
        <w:tc>
          <w:tcPr>
            <w:tcW w:type="dxa" w:w="1560"/>
            <w:shd w:fill="F2F6FA"/>
          </w:tcPr>
          <w:p>
            <w:r/>
            <w:r>
              <w:rPr>
                <w:rFonts w:ascii="Calibri" w:hAnsi="Calibri"/>
                <w:b w:val="0"/>
                <w:sz w:val="20"/>
              </w:rPr>
              <w:t>AT&amp;T</w:t>
            </w:r>
          </w:p>
        </w:tc>
        <w:tc>
          <w:tcPr>
            <w:tcW w:type="dxa" w:w="1560"/>
            <w:shd w:fill="F2F6FA"/>
          </w:tcPr>
          <w:p>
            <w:r/>
            <w:r>
              <w:rPr>
                <w:rFonts w:ascii="Calibri" w:hAnsi="Calibri"/>
                <w:b w:val="0"/>
                <w:sz w:val="20"/>
              </w:rPr>
              <w:t>Telecom</w:t>
            </w:r>
          </w:p>
        </w:tc>
        <w:tc>
          <w:tcPr>
            <w:tcW w:type="dxa" w:w="1560"/>
            <w:shd w:fill="F2F6FA"/>
          </w:tcPr>
          <w:p>
            <w:r/>
            <w:r>
              <w:rPr>
                <w:rFonts w:ascii="Calibri" w:hAnsi="Calibri"/>
                <w:b w:val="0"/>
                <w:sz w:val="20"/>
              </w:rPr>
              <w:t>Structured recognition platform + engagement tracking as retention metric</w:t>
            </w:r>
          </w:p>
        </w:tc>
        <w:tc>
          <w:tcPr>
            <w:tcW w:type="dxa" w:w="1560"/>
            <w:shd w:fill="F2F6FA"/>
          </w:tcPr>
          <w:p>
            <w:r/>
            <w:r>
              <w:rPr>
                <w:rFonts w:ascii="Calibri" w:hAnsi="Calibri"/>
                <w:b w:val="0"/>
                <w:sz w:val="20"/>
              </w:rPr>
              <w:t>N/A</w:t>
            </w:r>
          </w:p>
        </w:tc>
        <w:tc>
          <w:tcPr>
            <w:tcW w:type="dxa" w:w="1560"/>
            <w:shd w:fill="F2F6FA"/>
          </w:tcPr>
          <w:p>
            <w:r/>
            <w:r>
              <w:rPr>
                <w:rFonts w:ascii="Calibri" w:hAnsi="Calibri"/>
                <w:b w:val="0"/>
                <w:sz w:val="20"/>
              </w:rPr>
              <w:t>N/A</w:t>
            </w:r>
          </w:p>
        </w:tc>
        <w:tc>
          <w:tcPr>
            <w:tcW w:type="dxa" w:w="1560"/>
            <w:shd w:fill="F2F6FA"/>
          </w:tcPr>
          <w:p>
            <w:r/>
            <w:r>
              <w:rPr>
                <w:rFonts w:ascii="Calibri" w:hAnsi="Calibri"/>
                <w:b w:val="0"/>
                <w:sz w:val="20"/>
              </w:rPr>
              <w:t>Awardco</w:t>
            </w:r>
          </w:p>
        </w:tc>
      </w:tr>
      <w:tr>
        <w:tc>
          <w:tcPr>
            <w:tcW w:type="dxa" w:w="1560"/>
          </w:tcPr>
          <w:p>
            <w:r/>
            <w:r>
              <w:rPr>
                <w:rFonts w:ascii="Calibri" w:hAnsi="Calibri"/>
                <w:b w:val="0"/>
                <w:sz w:val="20"/>
              </w:rPr>
              <w:t>GE Aerospace</w:t>
            </w:r>
          </w:p>
        </w:tc>
        <w:tc>
          <w:tcPr>
            <w:tcW w:type="dxa" w:w="1560"/>
          </w:tcPr>
          <w:p>
            <w:r/>
            <w:r>
              <w:rPr>
                <w:rFonts w:ascii="Calibri" w:hAnsi="Calibri"/>
                <w:b w:val="0"/>
                <w:sz w:val="20"/>
              </w:rPr>
              <w:t>Aerospace</w:t>
            </w:r>
          </w:p>
        </w:tc>
        <w:tc>
          <w:tcPr>
            <w:tcW w:type="dxa" w:w="1560"/>
          </w:tcPr>
          <w:p>
            <w:r/>
            <w:r>
              <w:rPr>
                <w:rFonts w:ascii="Calibri" w:hAnsi="Calibri"/>
                <w:b w:val="0"/>
                <w:sz w:val="20"/>
              </w:rPr>
              <w:t>Early adopter of stay interviews (GEFA subsidiary)</w:t>
            </w:r>
          </w:p>
        </w:tc>
        <w:tc>
          <w:tcPr>
            <w:tcW w:type="dxa" w:w="1560"/>
          </w:tcPr>
          <w:p>
            <w:r/>
            <w:r>
              <w:rPr>
                <w:rFonts w:ascii="Calibri" w:hAnsi="Calibri"/>
                <w:b w:val="0"/>
                <w:sz w:val="20"/>
              </w:rPr>
              <w:t>$0</w:t>
            </w:r>
          </w:p>
        </w:tc>
        <w:tc>
          <w:tcPr>
            <w:tcW w:type="dxa" w:w="1560"/>
          </w:tcPr>
          <w:p>
            <w:r/>
            <w:r>
              <w:rPr>
                <w:rFonts w:ascii="Calibri" w:hAnsi="Calibri"/>
                <w:b w:val="0"/>
                <w:sz w:val="20"/>
              </w:rPr>
              <w:t>N/A</w:t>
            </w:r>
          </w:p>
        </w:tc>
        <w:tc>
          <w:tcPr>
            <w:tcW w:type="dxa" w:w="1560"/>
          </w:tcPr>
          <w:p>
            <w:r/>
            <w:r>
              <w:rPr>
                <w:rFonts w:ascii="Calibri" w:hAnsi="Calibri"/>
                <w:b w:val="0"/>
                <w:sz w:val="20"/>
              </w:rPr>
              <w:t>Finnegan, 2015</w:t>
            </w:r>
          </w:p>
        </w:tc>
      </w:tr>
      <w:tr>
        <w:tc>
          <w:tcPr>
            <w:tcW w:type="dxa" w:w="1560"/>
            <w:shd w:fill="F2F6FA"/>
          </w:tcPr>
          <w:p>
            <w:r/>
            <w:r>
              <w:rPr>
                <w:rFonts w:ascii="Calibri" w:hAnsi="Calibri"/>
                <w:b w:val="0"/>
                <w:sz w:val="20"/>
              </w:rPr>
              <w:t>Bayer</w:t>
            </w:r>
          </w:p>
        </w:tc>
        <w:tc>
          <w:tcPr>
            <w:tcW w:type="dxa" w:w="1560"/>
            <w:shd w:fill="F2F6FA"/>
          </w:tcPr>
          <w:p>
            <w:r/>
            <w:r>
              <w:rPr>
                <w:rFonts w:ascii="Calibri" w:hAnsi="Calibri"/>
                <w:b w:val="0"/>
                <w:sz w:val="20"/>
              </w:rPr>
              <w:t>Pharmaceuticals</w:t>
            </w:r>
          </w:p>
        </w:tc>
        <w:tc>
          <w:tcPr>
            <w:tcW w:type="dxa" w:w="1560"/>
            <w:shd w:fill="F2F6FA"/>
          </w:tcPr>
          <w:p>
            <w:r/>
            <w:r>
              <w:rPr>
                <w:rFonts w:ascii="Calibri" w:hAnsi="Calibri"/>
                <w:b w:val="0"/>
                <w:sz w:val="20"/>
              </w:rPr>
              <w:t>Tiered retention strategy following major acquisition</w:t>
            </w:r>
          </w:p>
        </w:tc>
        <w:tc>
          <w:tcPr>
            <w:tcW w:type="dxa" w:w="1560"/>
            <w:shd w:fill="F2F6FA"/>
          </w:tcPr>
          <w:p>
            <w:r/>
            <w:r>
              <w:rPr>
                <w:rFonts w:ascii="Calibri" w:hAnsi="Calibri"/>
                <w:b w:val="0"/>
                <w:sz w:val="20"/>
              </w:rPr>
              <w:t>N/A</w:t>
            </w:r>
          </w:p>
        </w:tc>
        <w:tc>
          <w:tcPr>
            <w:tcW w:type="dxa" w:w="1560"/>
            <w:shd w:fill="F2F6FA"/>
          </w:tcPr>
          <w:p>
            <w:r/>
            <w:r>
              <w:rPr>
                <w:rFonts w:ascii="Calibri" w:hAnsi="Calibri"/>
                <w:b w:val="0"/>
                <w:sz w:val="20"/>
              </w:rPr>
              <w:t>N/A</w:t>
            </w:r>
          </w:p>
        </w:tc>
        <w:tc>
          <w:tcPr>
            <w:tcW w:type="dxa" w:w="1560"/>
            <w:shd w:fill="F2F6FA"/>
          </w:tcPr>
          <w:p>
            <w:r/>
            <w:r>
              <w:rPr>
                <w:rFonts w:ascii="Calibri" w:hAnsi="Calibri"/>
                <w:b w:val="0"/>
                <w:sz w:val="20"/>
              </w:rPr>
              <w:t>Industry reports</w:t>
            </w:r>
          </w:p>
        </w:tc>
      </w:tr>
    </w:tbl>
    <w:p/>
    <w:p>
      <w:pPr>
        <w:spacing w:before="360" w:after="160"/>
      </w:pPr>
      <w:r>
        <w:rPr>
          <w:rFonts w:ascii="Calibri" w:hAnsi="Calibri"/>
          <w:b/>
          <w:color w:val="1F4E79"/>
          <w:sz w:val="32"/>
        </w:rPr>
        <w:t>2. Six Zero-Cost Retention Strategies</w:t>
      </w:r>
    </w:p>
    <w:p>
      <w:pPr>
        <w:spacing w:line="276" w:lineRule="auto" w:after="120"/>
      </w:pPr>
      <w:r>
        <w:rPr>
          <w:rFonts w:ascii="Calibri" w:hAnsi="Calibri"/>
          <w:sz w:val="22"/>
        </w:rPr>
        <w:t>The following six approaches recur across multiple Fortune 500 organizations. Each costs little or nothing to implement yet produces measurable retention gains. These are ranked from most frequently cited to more specialized.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
              <w:rPr>
                <w:rFonts w:ascii="Calibri" w:hAnsi="Calibri"/>
                <w:b/>
                <w:color w:val="FFFFFF"/>
                <w:sz w:val="20"/>
              </w:rPr>
              <w:t>Strategy</w:t>
            </w:r>
          </w:p>
        </w:tc>
        <w:tc>
          <w:tcPr>
            <w:tcW w:type="dxa" w:w="3120"/>
            <w:shd w:fill="1F4E79"/>
          </w:tcPr>
          <w:p>
            <w:r/>
            <w:r>
              <w:rPr>
                <w:rFonts w:ascii="Calibri" w:hAnsi="Calibri"/>
                <w:b/>
                <w:color w:val="FFFFFF"/>
                <w:sz w:val="20"/>
              </w:rPr>
              <w:t>Exemplar Companies</w:t>
            </w:r>
          </w:p>
        </w:tc>
        <w:tc>
          <w:tcPr>
            <w:tcW w:type="dxa" w:w="3120"/>
            <w:shd w:fill="1F4E79"/>
          </w:tcPr>
          <w:p>
            <w:r/>
            <w:r>
              <w:rPr>
                <w:rFonts w:ascii="Calibri" w:hAnsi="Calibri"/>
                <w:b/>
                <w:color w:val="FFFFFF"/>
                <w:sz w:val="20"/>
              </w:rPr>
              <w:t>Why It Works</w:t>
            </w:r>
          </w:p>
        </w:tc>
      </w:tr>
      <w:tr>
        <w:tc>
          <w:tcPr>
            <w:tcW w:type="dxa" w:w="3120"/>
            <w:shd w:fill="F2F6FA"/>
          </w:tcPr>
          <w:p>
            <w:r/>
            <w:r>
              <w:rPr>
                <w:rFonts w:ascii="Calibri" w:hAnsi="Calibri"/>
                <w:b w:val="0"/>
                <w:sz w:val="20"/>
              </w:rPr>
              <w:t>1. Recognition Programs</w:t>
            </w:r>
          </w:p>
        </w:tc>
        <w:tc>
          <w:tcPr>
            <w:tcW w:type="dxa" w:w="3120"/>
            <w:shd w:fill="F2F6FA"/>
          </w:tcPr>
          <w:p>
            <w:r/>
            <w:r>
              <w:rPr>
                <w:rFonts w:ascii="Calibri" w:hAnsi="Calibri"/>
                <w:b w:val="0"/>
                <w:sz w:val="20"/>
              </w:rPr>
              <w:t>Cisco, Hilton, Marriott</w:t>
            </w:r>
          </w:p>
        </w:tc>
        <w:tc>
          <w:tcPr>
            <w:tcW w:type="dxa" w:w="3120"/>
            <w:shd w:fill="F2F6FA"/>
          </w:tcPr>
          <w:p>
            <w:r/>
            <w:r>
              <w:rPr>
                <w:rFonts w:ascii="Calibri" w:hAnsi="Calibri"/>
                <w:b w:val="0"/>
                <w:sz w:val="20"/>
              </w:rPr>
              <w:t>Recognized employees have 45% lower turnover risk (Gallup).</w:t>
            </w:r>
          </w:p>
        </w:tc>
      </w:tr>
      <w:tr>
        <w:tc>
          <w:tcPr>
            <w:tcW w:type="dxa" w:w="3120"/>
          </w:tcPr>
          <w:p>
            <w:r/>
            <w:r>
              <w:rPr>
                <w:rFonts w:ascii="Calibri" w:hAnsi="Calibri"/>
                <w:b w:val="0"/>
                <w:sz w:val="20"/>
              </w:rPr>
              <w:t>2. Visible Career Pathways</w:t>
            </w:r>
          </w:p>
        </w:tc>
        <w:tc>
          <w:tcPr>
            <w:tcW w:type="dxa" w:w="3120"/>
          </w:tcPr>
          <w:p>
            <w:r/>
            <w:r>
              <w:rPr>
                <w:rFonts w:ascii="Calibri" w:hAnsi="Calibri"/>
                <w:b w:val="0"/>
                <w:sz w:val="20"/>
              </w:rPr>
              <w:t>NVIDIA</w:t>
            </w:r>
          </w:p>
        </w:tc>
        <w:tc>
          <w:tcPr>
            <w:tcW w:type="dxa" w:w="3120"/>
          </w:tcPr>
          <w:p>
            <w:r/>
            <w:r>
              <w:rPr>
                <w:rFonts w:ascii="Calibri" w:hAnsi="Calibri"/>
                <w:b w:val="0"/>
                <w:sz w:val="20"/>
              </w:rPr>
              <w:t>Seeing the next three roles ahead is more effective than a $5K raise.</w:t>
            </w:r>
          </w:p>
        </w:tc>
      </w:tr>
      <w:tr>
        <w:tc>
          <w:tcPr>
            <w:tcW w:type="dxa" w:w="3120"/>
            <w:shd w:fill="F2F6FA"/>
          </w:tcPr>
          <w:p>
            <w:r/>
            <w:r>
              <w:rPr>
                <w:rFonts w:ascii="Calibri" w:hAnsi="Calibri"/>
                <w:b w:val="0"/>
                <w:sz w:val="20"/>
              </w:rPr>
              <w:t>3. Stay Interviews</w:t>
            </w:r>
          </w:p>
        </w:tc>
        <w:tc>
          <w:tcPr>
            <w:tcW w:type="dxa" w:w="3120"/>
            <w:shd w:fill="F2F6FA"/>
          </w:tcPr>
          <w:p>
            <w:r/>
            <w:r>
              <w:rPr>
                <w:rFonts w:ascii="Calibri" w:hAnsi="Calibri"/>
                <w:b w:val="0"/>
                <w:sz w:val="20"/>
              </w:rPr>
              <w:t>Adobe, Marriott</w:t>
            </w:r>
          </w:p>
        </w:tc>
        <w:tc>
          <w:tcPr>
            <w:tcW w:type="dxa" w:w="3120"/>
            <w:shd w:fill="F2F6FA"/>
          </w:tcPr>
          <w:p>
            <w:r/>
            <w:r>
              <w:rPr>
                <w:rFonts w:ascii="Calibri" w:hAnsi="Calibri"/>
                <w:b w:val="0"/>
                <w:sz w:val="20"/>
              </w:rPr>
              <w:t>Exit interviews come too late — intervene when employees are thinking of leaving but have not yet acted.</w:t>
            </w:r>
          </w:p>
        </w:tc>
      </w:tr>
      <w:tr>
        <w:tc>
          <w:tcPr>
            <w:tcW w:type="dxa" w:w="3120"/>
          </w:tcPr>
          <w:p>
            <w:r/>
            <w:r>
              <w:rPr>
                <w:rFonts w:ascii="Calibri" w:hAnsi="Calibri"/>
                <w:b w:val="0"/>
                <w:sz w:val="20"/>
              </w:rPr>
              <w:t>4. Mission Communication</w:t>
            </w:r>
          </w:p>
        </w:tc>
        <w:tc>
          <w:tcPr>
            <w:tcW w:type="dxa" w:w="3120"/>
          </w:tcPr>
          <w:p>
            <w:r/>
            <w:r>
              <w:rPr>
                <w:rFonts w:ascii="Calibri" w:hAnsi="Calibri"/>
                <w:b w:val="0"/>
                <w:sz w:val="20"/>
              </w:rPr>
              <w:t>Apple, Google</w:t>
            </w:r>
          </w:p>
        </w:tc>
        <w:tc>
          <w:tcPr>
            <w:tcW w:type="dxa" w:w="3120"/>
          </w:tcPr>
          <w:p>
            <w:r/>
            <w:r>
              <w:rPr>
                <w:rFonts w:ascii="Calibri" w:hAnsi="Calibri"/>
                <w:b w:val="0"/>
                <w:sz w:val="20"/>
              </w:rPr>
              <w:t>Make sure employees know the real impact their work has on customers and society.</w:t>
            </w:r>
          </w:p>
        </w:tc>
      </w:tr>
      <w:tr>
        <w:tc>
          <w:tcPr>
            <w:tcW w:type="dxa" w:w="3120"/>
            <w:shd w:fill="F2F6FA"/>
          </w:tcPr>
          <w:p>
            <w:r/>
            <w:r>
              <w:rPr>
                <w:rFonts w:ascii="Calibri" w:hAnsi="Calibri"/>
                <w:b w:val="0"/>
                <w:sz w:val="20"/>
              </w:rPr>
              <w:t>5. Manager Development</w:t>
            </w:r>
          </w:p>
        </w:tc>
        <w:tc>
          <w:tcPr>
            <w:tcW w:type="dxa" w:w="3120"/>
            <w:shd w:fill="F2F6FA"/>
          </w:tcPr>
          <w:p>
            <w:r/>
            <w:r>
              <w:rPr>
                <w:rFonts w:ascii="Calibri" w:hAnsi="Calibri"/>
                <w:b w:val="0"/>
                <w:sz w:val="20"/>
              </w:rPr>
              <w:t>Google (Project Oxygen)</w:t>
            </w:r>
          </w:p>
        </w:tc>
        <w:tc>
          <w:tcPr>
            <w:tcW w:type="dxa" w:w="3120"/>
            <w:shd w:fill="F2F6FA"/>
          </w:tcPr>
          <w:p>
            <w:r/>
            <w:r>
              <w:rPr>
                <w:rFonts w:ascii="Calibri" w:hAnsi="Calibri"/>
                <w:b w:val="0"/>
                <w:sz w:val="20"/>
              </w:rPr>
              <w:t>Replacing a poor manager costs less and delivers more than giving raises to retain staff.</w:t>
            </w:r>
          </w:p>
        </w:tc>
      </w:tr>
      <w:tr>
        <w:tc>
          <w:tcPr>
            <w:tcW w:type="dxa" w:w="3120"/>
          </w:tcPr>
          <w:p>
            <w:r/>
            <w:r>
              <w:rPr>
                <w:rFonts w:ascii="Calibri" w:hAnsi="Calibri"/>
                <w:b w:val="0"/>
                <w:sz w:val="20"/>
              </w:rPr>
              <w:t>6. Structured Onboarding</w:t>
            </w:r>
          </w:p>
        </w:tc>
        <w:tc>
          <w:tcPr>
            <w:tcW w:type="dxa" w:w="3120"/>
          </w:tcPr>
          <w:p>
            <w:r/>
            <w:r>
              <w:rPr>
                <w:rFonts w:ascii="Calibri" w:hAnsi="Calibri"/>
                <w:b w:val="0"/>
                <w:sz w:val="20"/>
              </w:rPr>
              <w:t>Google, Microsoft, IBM</w:t>
            </w:r>
          </w:p>
        </w:tc>
        <w:tc>
          <w:tcPr>
            <w:tcW w:type="dxa" w:w="3120"/>
          </w:tcPr>
          <w:p>
            <w:r/>
            <w:r>
              <w:rPr>
                <w:rFonts w:ascii="Calibri" w:hAnsi="Calibri"/>
                <w:b w:val="0"/>
                <w:sz w:val="20"/>
              </w:rPr>
              <w:t>First-year turnover drops from 21.5% to 14% (conservative estimate) with a structured program.</w:t>
            </w:r>
          </w:p>
        </w:tc>
      </w:tr>
    </w:tbl>
    <w:p/>
    <w:p>
      <w:pPr>
        <w:spacing w:before="360" w:after="160"/>
      </w:pPr>
      <w:r>
        <w:rPr>
          <w:rFonts w:ascii="Calibri" w:hAnsi="Calibri"/>
          <w:b/>
          <w:color w:val="1F4E79"/>
          <w:sz w:val="32"/>
        </w:rPr>
        <w:t>Conclusion</w:t>
      </w:r>
    </w:p>
    <w:p>
      <w:pPr>
        <w:spacing w:line="276" w:lineRule="auto" w:after="120"/>
      </w:pPr>
      <w:r>
        <w:rPr>
          <w:rFonts w:ascii="Calibri" w:hAnsi="Calibri"/>
          <w:sz w:val="22"/>
        </w:rPr>
        <w:t>The evidence from 15 Fortune 500 companies makes a clear case: non-monetary retention strategies — recognition, career visibility, stay interviews, mission alignment, manager quality, and structured onboarding — consistently outperform salary-based retention. Several of the highest-impact measures carry zero direct cost. Organizations should evaluate their current mix against this playbook and prioritize the measures that align with their culture and workforce profile.</w:t>
      </w:r>
    </w:p>
    <w:p>
      <w:pPr>
        <w:spacing w:before="360" w:after="160"/>
      </w:pPr>
      <w:r>
        <w:rPr>
          <w:rFonts w:ascii="Calibri" w:hAnsi="Calibri"/>
          <w:b/>
          <w:color w:val="1F4E79"/>
          <w:sz w:val="32"/>
        </w:rPr>
        <w:t>Sources &amp; References</w:t>
      </w:r>
    </w:p>
    <w:p>
      <w:pPr>
        <w:spacing w:line="276" w:lineRule="auto" w:after="120"/>
      </w:pPr>
      <w:r>
        <w:rPr>
          <w:rFonts w:ascii="Calibri" w:hAnsi="Calibri"/>
          <w:sz w:val="22"/>
        </w:rPr>
        <w:t>All entries are drawn from public-domain sources: company investor reports, Great Place to Work / Fortune rankings, SHRM case studies, Workhuman platform data, HR Analytics publications, and industry literature. Where a specific publication is cited inline, full bibliographic details are available through the original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