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4E79"/>
          <w:sz w:val="44"/>
        </w:rPr>
        <w:t>Cascading Exit Risk Analysis</w:t>
      </w:r>
    </w:p>
    <w:p>
      <w:pPr>
        <w:spacing w:after="320"/>
      </w:pPr>
      <w:r>
        <w:rPr>
          <w:rFonts w:ascii="Calibri" w:hAnsi="Calibri"/>
          <w:color w:val="666666"/>
          <w:sz w:val="24"/>
        </w:rPr>
        <w:t>Regrettable Employee Exit Impact on Team Wellbeing and Manager Effectiveness</w:t>
      </w:r>
    </w:p>
    <w:p>
      <w:pPr>
        <w:spacing w:after="240"/>
      </w:pPr>
      <w:r>
        <w:rPr>
          <w:rFonts w:ascii="Calibri" w:hAnsi="Calibri"/>
          <w:color w:val="1F4E79"/>
          <w:sz w:val="12"/>
        </w:rPr>
        <w:t>────────────────────────────────────────────────────────────────────────</w:t>
      </w:r>
    </w:p>
    <w:p>
      <w:pPr>
        <w:spacing w:before="360" w:after="160"/>
        <w:jc w:val="left"/>
      </w:pPr>
      <w:r>
        <w:rPr>
          <w:rFonts w:ascii="Calibri" w:hAnsi="Calibri"/>
          <w:b/>
          <w:color w:val="1F4E79"/>
          <w:sz w:val="32"/>
        </w:rPr>
        <w:t>Executive Summary</w:t>
      </w:r>
    </w:p>
    <w:p>
      <w:r>
        <w:t>This report analyzes four recent regrettable employee exits to quantify cascading risk effects on remaining team members. The analysis distinguishes between exits where the role was replaced and those where it was left vacant, measuring impacts on peer wellbeing and manager effectiveness. Findings reveal that unreplaced exits create secondary flight risk, replacement substantially mitigates wellbeing damage, and manager effectiveness declines regardless of replacement status.</w:t>
      </w:r>
    </w:p>
    <w:p>
      <w:pPr>
        <w:spacing w:before="360" w:after="160"/>
        <w:jc w:val="left"/>
      </w:pPr>
      <w:r>
        <w:rPr>
          <w:rFonts w:ascii="Calibri" w:hAnsi="Calibri"/>
          <w:b/>
          <w:color w:val="1F4E79"/>
          <w:sz w:val="32"/>
        </w:rPr>
        <w:t>Case-by-Case Exit Analysis</w:t>
      </w:r>
    </w:p>
    <w:p>
      <w:pPr>
        <w:spacing w:before="360" w:after="160"/>
        <w:jc w:val="left"/>
      </w:pPr>
      <w:r>
        <w:rPr>
          <w:rFonts w:ascii="Calibri" w:hAnsi="Calibri"/>
          <w:b/>
          <w:color w:val="1F4E79"/>
          <w:sz w:val="26"/>
        </w:rPr>
        <w:t>Case 1: Employee E07625 (Unreplaced — Worst Impact)</w:t>
      </w:r>
    </w:p>
    <w:p>
      <w:r>
        <w:rPr>
          <w:b/>
        </w:rPr>
        <w:t xml:space="preserve">Status: </w:t>
      </w:r>
      <w:r>
        <w:t>Role left unfilled after departure.</w:t>
      </w:r>
    </w:p>
    <w:p>
      <w:r>
        <w:rPr>
          <w:b/>
        </w:rPr>
        <w:t xml:space="preserve">Summary: </w:t>
      </w:r>
      <w:r>
        <w:t>E07625, an L4+ individual contributor in a critical function, departed without replacement. This triggered the most severe cascading effects observed across all four cases. Peer wellbeing declined by 0.331 points on the standardized scale, and manager effectiveness dropped by 1.102 points — the largest single-exit impact recorded. Two team members subsequently expressed intent to leave within 60 days, confirming secondary flight risk from unreplaced exits.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F4E79"/>
          </w:tcPr>
          <w:p>
            <w:pPr>
              <w:spacing w:before="40" w:after="40"/>
              <w:jc w:val="left"/>
            </w:pPr>
            <w:r>
              <w:rPr>
                <w:rFonts w:ascii="Calibri" w:hAnsi="Calibri"/>
                <w:b/>
                <w:color w:val="FFFFFF"/>
                <w:sz w:val="20"/>
              </w:rPr>
              <w:t>Metric</w:t>
            </w:r>
          </w:p>
        </w:tc>
        <w:tc>
          <w:tcPr>
            <w:tcW w:type="dxa" w:w="1417"/>
            <w:shd w:fill="1F4E79"/>
          </w:tcPr>
          <w:p>
            <w:pPr>
              <w:spacing w:before="40" w:after="40"/>
              <w:jc w:val="left"/>
            </w:pPr>
            <w:r>
              <w:rPr>
                <w:rFonts w:ascii="Calibri" w:hAnsi="Calibri"/>
                <w:b/>
                <w:color w:val="FFFFFF"/>
                <w:sz w:val="20"/>
              </w:rPr>
              <w:t>Pre-Exit</w:t>
            </w:r>
          </w:p>
        </w:tc>
        <w:tc>
          <w:tcPr>
            <w:tcW w:type="dxa" w:w="1587"/>
            <w:shd w:fill="1F4E79"/>
          </w:tcPr>
          <w:p>
            <w:pPr>
              <w:spacing w:before="40" w:after="40"/>
              <w:jc w:val="left"/>
            </w:pPr>
            <w:r>
              <w:rPr>
                <w:rFonts w:ascii="Calibri" w:hAnsi="Calibri"/>
                <w:b/>
                <w:color w:val="FFFFFF"/>
                <w:sz w:val="20"/>
              </w:rPr>
              <w:t>Post-Exit (30d)</w:t>
            </w:r>
          </w:p>
        </w:tc>
        <w:tc>
          <w:tcPr>
            <w:tcW w:type="dxa" w:w="1247"/>
            <w:shd w:fill="1F4E79"/>
          </w:tcPr>
          <w:p>
            <w:pPr>
              <w:spacing w:before="40" w:after="40"/>
              <w:jc w:val="left"/>
            </w:pPr>
            <w:r>
              <w:rPr>
                <w:rFonts w:ascii="Calibri" w:hAnsi="Calibri"/>
                <w:b/>
                <w:color w:val="FFFFFF"/>
                <w:sz w:val="20"/>
              </w:rPr>
              <w:t>Delta</w:t>
            </w:r>
          </w:p>
        </w:tc>
        <w:tc>
          <w:tcPr>
            <w:tcW w:type="dxa" w:w="1134"/>
            <w:shd w:fill="1F4E79"/>
          </w:tcPr>
          <w:p>
            <w:pPr>
              <w:spacing w:before="40" w:after="40"/>
              <w:jc w:val="left"/>
            </w:pPr>
            <w:r>
              <w:rPr>
                <w:rFonts w:ascii="Calibri" w:hAnsi="Calibri"/>
                <w:b/>
                <w:color w:val="FFFFFF"/>
                <w:sz w:val="20"/>
              </w:rPr>
              <w:t>Risk Flag</w:t>
            </w:r>
          </w:p>
        </w:tc>
      </w:tr>
      <w:tr>
        <w:tc>
          <w:tcPr>
            <w:tcW w:type="dxa" w:w="2551"/>
          </w:tcPr>
          <w:p>
            <w:pPr>
              <w:spacing w:before="40" w:after="40"/>
              <w:jc w:val="left"/>
            </w:pPr>
            <w:r>
              <w:rPr>
                <w:rFonts w:ascii="Calibri" w:hAnsi="Calibri"/>
                <w:b/>
                <w:color w:val="333333"/>
                <w:sz w:val="20"/>
              </w:rPr>
              <w:t>Peer Wellbeing Score</w:t>
            </w:r>
          </w:p>
        </w:tc>
        <w:tc>
          <w:tcPr>
            <w:tcW w:type="dxa" w:w="1417"/>
          </w:tcPr>
          <w:p>
            <w:pPr>
              <w:spacing w:before="40" w:after="40"/>
              <w:jc w:val="left"/>
            </w:pPr>
            <w:r>
              <w:rPr>
                <w:rFonts w:ascii="Calibri" w:hAnsi="Calibri"/>
                <w:b w:val="0"/>
                <w:color w:val="333333"/>
                <w:sz w:val="20"/>
              </w:rPr>
              <w:t>3.87</w:t>
            </w:r>
          </w:p>
        </w:tc>
        <w:tc>
          <w:tcPr>
            <w:tcW w:type="dxa" w:w="1587"/>
          </w:tcPr>
          <w:p>
            <w:pPr>
              <w:spacing w:before="40" w:after="40"/>
              <w:jc w:val="left"/>
            </w:pPr>
            <w:r>
              <w:rPr>
                <w:rFonts w:ascii="Calibri" w:hAnsi="Calibri"/>
                <w:b w:val="0"/>
                <w:color w:val="333333"/>
                <w:sz w:val="20"/>
              </w:rPr>
              <w:t>3.54</w:t>
            </w:r>
          </w:p>
        </w:tc>
        <w:tc>
          <w:tcPr>
            <w:tcW w:type="dxa" w:w="1247"/>
          </w:tcPr>
          <w:p>
            <w:pPr>
              <w:spacing w:before="40" w:after="40"/>
              <w:jc w:val="left"/>
            </w:pPr>
            <w:r>
              <w:rPr>
                <w:rFonts w:ascii="Calibri" w:hAnsi="Calibri"/>
                <w:b w:val="0"/>
                <w:color w:val="333333"/>
                <w:sz w:val="20"/>
              </w:rPr>
              <w:t>-0.331</w:t>
            </w:r>
          </w:p>
        </w:tc>
        <w:tc>
          <w:tcPr>
            <w:tcW w:type="dxa" w:w="1134"/>
          </w:tcPr>
          <w:p>
            <w:pPr>
              <w:spacing w:before="40" w:after="40"/>
              <w:jc w:val="left"/>
            </w:pPr>
            <w:r>
              <w:rPr>
                <w:rFonts w:ascii="Calibri" w:hAnsi="Calibri"/>
                <w:b w:val="0"/>
                <w:color w:val="333333"/>
                <w:sz w:val="20"/>
              </w:rPr>
              <w:t>HIGH</w:t>
            </w:r>
          </w:p>
        </w:tc>
      </w:tr>
      <w:tr>
        <w:tc>
          <w:tcPr>
            <w:tcW w:type="dxa" w:w="2551"/>
            <w:shd w:fill="EBF0F5"/>
          </w:tcPr>
          <w:p>
            <w:pPr>
              <w:spacing w:before="40" w:after="40"/>
              <w:jc w:val="left"/>
            </w:pPr>
            <w:r>
              <w:rPr>
                <w:rFonts w:ascii="Calibri" w:hAnsi="Calibri"/>
                <w:b/>
                <w:color w:val="333333"/>
                <w:sz w:val="20"/>
              </w:rPr>
              <w:t>Manager Effectiveness</w:t>
            </w:r>
          </w:p>
        </w:tc>
        <w:tc>
          <w:tcPr>
            <w:tcW w:type="dxa" w:w="1417"/>
            <w:shd w:fill="EBF0F5"/>
          </w:tcPr>
          <w:p>
            <w:pPr>
              <w:spacing w:before="40" w:after="40"/>
              <w:jc w:val="left"/>
            </w:pPr>
            <w:r>
              <w:rPr>
                <w:rFonts w:ascii="Calibri" w:hAnsi="Calibri"/>
                <w:b w:val="0"/>
                <w:color w:val="333333"/>
                <w:sz w:val="20"/>
              </w:rPr>
              <w:t>4.12</w:t>
            </w:r>
          </w:p>
        </w:tc>
        <w:tc>
          <w:tcPr>
            <w:tcW w:type="dxa" w:w="1587"/>
            <w:shd w:fill="EBF0F5"/>
          </w:tcPr>
          <w:p>
            <w:pPr>
              <w:spacing w:before="40" w:after="40"/>
              <w:jc w:val="left"/>
            </w:pPr>
            <w:r>
              <w:rPr>
                <w:rFonts w:ascii="Calibri" w:hAnsi="Calibri"/>
                <w:b w:val="0"/>
                <w:color w:val="333333"/>
                <w:sz w:val="20"/>
              </w:rPr>
              <w:t>3.02</w:t>
            </w:r>
          </w:p>
        </w:tc>
        <w:tc>
          <w:tcPr>
            <w:tcW w:type="dxa" w:w="1247"/>
            <w:shd w:fill="EBF0F5"/>
          </w:tcPr>
          <w:p>
            <w:pPr>
              <w:spacing w:before="40" w:after="40"/>
              <w:jc w:val="left"/>
            </w:pPr>
            <w:r>
              <w:rPr>
                <w:rFonts w:ascii="Calibri" w:hAnsi="Calibri"/>
                <w:b w:val="0"/>
                <w:color w:val="333333"/>
                <w:sz w:val="20"/>
              </w:rPr>
              <w:t>-1.102</w:t>
            </w:r>
          </w:p>
        </w:tc>
        <w:tc>
          <w:tcPr>
            <w:tcW w:type="dxa" w:w="1134"/>
            <w:shd w:fill="EBF0F5"/>
          </w:tcPr>
          <w:p>
            <w:pPr>
              <w:spacing w:before="40" w:after="40"/>
              <w:jc w:val="left"/>
            </w:pPr>
            <w:r>
              <w:rPr>
                <w:rFonts w:ascii="Calibri" w:hAnsi="Calibri"/>
                <w:b w:val="0"/>
                <w:color w:val="333333"/>
                <w:sz w:val="20"/>
              </w:rPr>
              <w:t>CRITICAL</w:t>
            </w:r>
          </w:p>
        </w:tc>
      </w:tr>
      <w:tr>
        <w:tc>
          <w:tcPr>
            <w:tcW w:type="dxa" w:w="2551"/>
          </w:tcPr>
          <w:p>
            <w:pPr>
              <w:spacing w:before="40" w:after="40"/>
              <w:jc w:val="left"/>
            </w:pPr>
            <w:r>
              <w:rPr>
                <w:rFonts w:ascii="Calibri" w:hAnsi="Calibri"/>
                <w:b/>
                <w:color w:val="333333"/>
                <w:sz w:val="20"/>
              </w:rPr>
              <w:t>Team Workload Index</w:t>
            </w:r>
          </w:p>
        </w:tc>
        <w:tc>
          <w:tcPr>
            <w:tcW w:type="dxa" w:w="1417"/>
          </w:tcPr>
          <w:p>
            <w:pPr>
              <w:spacing w:before="40" w:after="40"/>
              <w:jc w:val="left"/>
            </w:pPr>
            <w:r>
              <w:rPr>
                <w:rFonts w:ascii="Calibri" w:hAnsi="Calibri"/>
                <w:b w:val="0"/>
                <w:color w:val="333333"/>
                <w:sz w:val="20"/>
              </w:rPr>
              <w:t>62%</w:t>
            </w:r>
          </w:p>
        </w:tc>
        <w:tc>
          <w:tcPr>
            <w:tcW w:type="dxa" w:w="1587"/>
          </w:tcPr>
          <w:p>
            <w:pPr>
              <w:spacing w:before="40" w:after="40"/>
              <w:jc w:val="left"/>
            </w:pPr>
            <w:r>
              <w:rPr>
                <w:rFonts w:ascii="Calibri" w:hAnsi="Calibri"/>
                <w:b w:val="0"/>
                <w:color w:val="333333"/>
                <w:sz w:val="20"/>
              </w:rPr>
              <w:t>89%</w:t>
            </w:r>
          </w:p>
        </w:tc>
        <w:tc>
          <w:tcPr>
            <w:tcW w:type="dxa" w:w="1247"/>
          </w:tcPr>
          <w:p>
            <w:pPr>
              <w:spacing w:before="40" w:after="40"/>
              <w:jc w:val="left"/>
            </w:pPr>
            <w:r>
              <w:rPr>
                <w:rFonts w:ascii="Calibri" w:hAnsi="Calibri"/>
                <w:b w:val="0"/>
                <w:color w:val="333333"/>
                <w:sz w:val="20"/>
              </w:rPr>
              <w:t>+27 pp</w:t>
            </w:r>
          </w:p>
        </w:tc>
        <w:tc>
          <w:tcPr>
            <w:tcW w:type="dxa" w:w="1134"/>
          </w:tcPr>
          <w:p>
            <w:pPr>
              <w:spacing w:before="40" w:after="40"/>
              <w:jc w:val="left"/>
            </w:pPr>
            <w:r>
              <w:rPr>
                <w:rFonts w:ascii="Calibri" w:hAnsi="Calibri"/>
                <w:b w:val="0"/>
                <w:color w:val="333333"/>
                <w:sz w:val="20"/>
              </w:rPr>
              <w:t>HIGH</w:t>
            </w:r>
          </w:p>
        </w:tc>
      </w:tr>
      <w:tr>
        <w:tc>
          <w:tcPr>
            <w:tcW w:type="dxa" w:w="2551"/>
            <w:shd w:fill="EBF0F5"/>
          </w:tcPr>
          <w:p>
            <w:pPr>
              <w:spacing w:before="40" w:after="40"/>
              <w:jc w:val="left"/>
            </w:pPr>
            <w:r>
              <w:rPr>
                <w:rFonts w:ascii="Calibri" w:hAnsi="Calibri"/>
                <w:b/>
                <w:color w:val="333333"/>
                <w:sz w:val="20"/>
              </w:rPr>
              <w:t>Voluntary Attrition Signal</w:t>
            </w:r>
          </w:p>
        </w:tc>
        <w:tc>
          <w:tcPr>
            <w:tcW w:type="dxa" w:w="1417"/>
            <w:shd w:fill="EBF0F5"/>
          </w:tcPr>
          <w:p>
            <w:pPr>
              <w:spacing w:before="40" w:after="40"/>
              <w:jc w:val="left"/>
            </w:pPr>
            <w:r>
              <w:rPr>
                <w:rFonts w:ascii="Calibri" w:hAnsi="Calibri"/>
                <w:b w:val="0"/>
                <w:color w:val="333333"/>
                <w:sz w:val="20"/>
              </w:rPr>
              <w:t>0</w:t>
            </w:r>
          </w:p>
        </w:tc>
        <w:tc>
          <w:tcPr>
            <w:tcW w:type="dxa" w:w="1587"/>
            <w:shd w:fill="EBF0F5"/>
          </w:tcPr>
          <w:p>
            <w:pPr>
              <w:spacing w:before="40" w:after="40"/>
              <w:jc w:val="left"/>
            </w:pPr>
            <w:r>
              <w:rPr>
                <w:rFonts w:ascii="Calibri" w:hAnsi="Calibri"/>
                <w:b w:val="0"/>
                <w:color w:val="333333"/>
                <w:sz w:val="20"/>
              </w:rPr>
              <w:t>2 signals</w:t>
            </w:r>
          </w:p>
        </w:tc>
        <w:tc>
          <w:tcPr>
            <w:tcW w:type="dxa" w:w="1247"/>
            <w:shd w:fill="EBF0F5"/>
          </w:tcPr>
          <w:p>
            <w:pPr>
              <w:spacing w:before="40" w:after="40"/>
              <w:jc w:val="left"/>
            </w:pPr>
            <w:r>
              <w:rPr>
                <w:rFonts w:ascii="Calibri" w:hAnsi="Calibri"/>
                <w:b w:val="0"/>
                <w:color w:val="333333"/>
                <w:sz w:val="20"/>
              </w:rPr>
              <w:t>+2</w:t>
            </w:r>
          </w:p>
        </w:tc>
        <w:tc>
          <w:tcPr>
            <w:tcW w:type="dxa" w:w="1134"/>
            <w:shd w:fill="EBF0F5"/>
          </w:tcPr>
          <w:p>
            <w:pPr>
              <w:spacing w:before="40" w:after="40"/>
              <w:jc w:val="left"/>
            </w:pPr>
            <w:r>
              <w:rPr>
                <w:rFonts w:ascii="Calibri" w:hAnsi="Calibri"/>
                <w:b w:val="0"/>
                <w:color w:val="333333"/>
                <w:sz w:val="20"/>
              </w:rPr>
              <w:t>CRITICAL</w:t>
            </w:r>
          </w:p>
        </w:tc>
      </w:tr>
      <w:tr>
        <w:tc>
          <w:tcPr>
            <w:tcW w:type="dxa" w:w="2551"/>
          </w:tcPr>
          <w:p>
            <w:pPr>
              <w:spacing w:before="40" w:after="40"/>
              <w:jc w:val="left"/>
            </w:pPr>
            <w:r>
              <w:rPr>
                <w:rFonts w:ascii="Calibri" w:hAnsi="Calibri"/>
                <w:b/>
                <w:color w:val="333333"/>
                <w:sz w:val="20"/>
              </w:rPr>
              <w:t>On-Call Escalations</w:t>
            </w:r>
          </w:p>
        </w:tc>
        <w:tc>
          <w:tcPr>
            <w:tcW w:type="dxa" w:w="1417"/>
          </w:tcPr>
          <w:p>
            <w:pPr>
              <w:spacing w:before="40" w:after="40"/>
              <w:jc w:val="left"/>
            </w:pPr>
            <w:r>
              <w:rPr>
                <w:rFonts w:ascii="Calibri" w:hAnsi="Calibri"/>
                <w:b w:val="0"/>
                <w:color w:val="333333"/>
                <w:sz w:val="20"/>
              </w:rPr>
              <w:t>1.2/wk</w:t>
            </w:r>
          </w:p>
        </w:tc>
        <w:tc>
          <w:tcPr>
            <w:tcW w:type="dxa" w:w="1587"/>
          </w:tcPr>
          <w:p>
            <w:pPr>
              <w:spacing w:before="40" w:after="40"/>
              <w:jc w:val="left"/>
            </w:pPr>
            <w:r>
              <w:rPr>
                <w:rFonts w:ascii="Calibri" w:hAnsi="Calibri"/>
                <w:b w:val="0"/>
                <w:color w:val="333333"/>
                <w:sz w:val="20"/>
              </w:rPr>
              <w:t>4.7/wk</w:t>
            </w:r>
          </w:p>
        </w:tc>
        <w:tc>
          <w:tcPr>
            <w:tcW w:type="dxa" w:w="1247"/>
          </w:tcPr>
          <w:p>
            <w:pPr>
              <w:spacing w:before="40" w:after="40"/>
              <w:jc w:val="left"/>
            </w:pPr>
            <w:r>
              <w:rPr>
                <w:rFonts w:ascii="Calibri" w:hAnsi="Calibri"/>
                <w:b w:val="0"/>
                <w:color w:val="333333"/>
                <w:sz w:val="20"/>
              </w:rPr>
              <w:t>+3.5/wk</w:t>
            </w:r>
          </w:p>
        </w:tc>
        <w:tc>
          <w:tcPr>
            <w:tcW w:type="dxa" w:w="1134"/>
          </w:tcPr>
          <w:p>
            <w:pPr>
              <w:spacing w:before="40" w:after="40"/>
              <w:jc w:val="left"/>
            </w:pPr>
            <w:r>
              <w:rPr>
                <w:rFonts w:ascii="Calibri" w:hAnsi="Calibri"/>
                <w:b w:val="0"/>
                <w:color w:val="333333"/>
                <w:sz w:val="20"/>
              </w:rPr>
              <w:t>HIGH</w:t>
            </w:r>
          </w:p>
        </w:tc>
      </w:tr>
    </w:tbl>
    <w:p>
      <w:pPr>
        <w:spacing w:after="160"/>
      </w:pPr>
    </w:p>
    <w:p>
      <w:pPr>
        <w:spacing w:before="360" w:after="160"/>
        <w:jc w:val="left"/>
      </w:pPr>
      <w:r>
        <w:rPr>
          <w:rFonts w:ascii="Calibri" w:hAnsi="Calibri"/>
          <w:b/>
          <w:color w:val="1F4E79"/>
          <w:sz w:val="26"/>
        </w:rPr>
        <w:t>Case 2: Employee E11737 (Unreplaced — Peer Resilience)</w:t>
      </w:r>
    </w:p>
    <w:p>
      <w:r>
        <w:rPr>
          <w:b/>
        </w:rPr>
        <w:t xml:space="preserve">Status: </w:t>
      </w:r>
      <w:r>
        <w:t>Role left unfilled after departure.</w:t>
      </w:r>
    </w:p>
    <w:p>
      <w:r>
        <w:rPr>
          <w:b/>
        </w:rPr>
        <w:t xml:space="preserve">Summary: </w:t>
      </w:r>
      <w:r>
        <w:t>E11737 departed from a mature, cross-trained team where peers had overlapping skills. Although the role was not backfilled, the team absorbed the workload with minimal wellbeing deterioration. Peer wellbeing showed a slight improvement (+0.04), attributed to reduced interpersonal friction and a temporary team restructuring that clarified responsibilities. This case demonstrates that team maturity and cross-training can buffer against the negative effects of an unreplaced exit.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F4E79"/>
          </w:tcPr>
          <w:p>
            <w:pPr>
              <w:spacing w:before="40" w:after="40"/>
              <w:jc w:val="left"/>
            </w:pPr>
            <w:r>
              <w:rPr>
                <w:rFonts w:ascii="Calibri" w:hAnsi="Calibri"/>
                <w:b/>
                <w:color w:val="FFFFFF"/>
                <w:sz w:val="20"/>
              </w:rPr>
              <w:t>Metric</w:t>
            </w:r>
          </w:p>
        </w:tc>
        <w:tc>
          <w:tcPr>
            <w:tcW w:type="dxa" w:w="1417"/>
            <w:shd w:fill="1F4E79"/>
          </w:tcPr>
          <w:p>
            <w:pPr>
              <w:spacing w:before="40" w:after="40"/>
              <w:jc w:val="left"/>
            </w:pPr>
            <w:r>
              <w:rPr>
                <w:rFonts w:ascii="Calibri" w:hAnsi="Calibri"/>
                <w:b/>
                <w:color w:val="FFFFFF"/>
                <w:sz w:val="20"/>
              </w:rPr>
              <w:t>Pre-Exit</w:t>
            </w:r>
          </w:p>
        </w:tc>
        <w:tc>
          <w:tcPr>
            <w:tcW w:type="dxa" w:w="1587"/>
            <w:shd w:fill="1F4E79"/>
          </w:tcPr>
          <w:p>
            <w:pPr>
              <w:spacing w:before="40" w:after="40"/>
              <w:jc w:val="left"/>
            </w:pPr>
            <w:r>
              <w:rPr>
                <w:rFonts w:ascii="Calibri" w:hAnsi="Calibri"/>
                <w:b/>
                <w:color w:val="FFFFFF"/>
                <w:sz w:val="20"/>
              </w:rPr>
              <w:t>Post-Exit (30d)</w:t>
            </w:r>
          </w:p>
        </w:tc>
        <w:tc>
          <w:tcPr>
            <w:tcW w:type="dxa" w:w="1247"/>
            <w:shd w:fill="1F4E79"/>
          </w:tcPr>
          <w:p>
            <w:pPr>
              <w:spacing w:before="40" w:after="40"/>
              <w:jc w:val="left"/>
            </w:pPr>
            <w:r>
              <w:rPr>
                <w:rFonts w:ascii="Calibri" w:hAnsi="Calibri"/>
                <w:b/>
                <w:color w:val="FFFFFF"/>
                <w:sz w:val="20"/>
              </w:rPr>
              <w:t>Delta</w:t>
            </w:r>
          </w:p>
        </w:tc>
        <w:tc>
          <w:tcPr>
            <w:tcW w:type="dxa" w:w="1134"/>
            <w:shd w:fill="1F4E79"/>
          </w:tcPr>
          <w:p>
            <w:pPr>
              <w:spacing w:before="40" w:after="40"/>
              <w:jc w:val="left"/>
            </w:pPr>
            <w:r>
              <w:rPr>
                <w:rFonts w:ascii="Calibri" w:hAnsi="Calibri"/>
                <w:b/>
                <w:color w:val="FFFFFF"/>
                <w:sz w:val="20"/>
              </w:rPr>
              <w:t>Risk Flag</w:t>
            </w:r>
          </w:p>
        </w:tc>
      </w:tr>
      <w:tr>
        <w:tc>
          <w:tcPr>
            <w:tcW w:type="dxa" w:w="2551"/>
          </w:tcPr>
          <w:p>
            <w:pPr>
              <w:spacing w:before="40" w:after="40"/>
              <w:jc w:val="left"/>
            </w:pPr>
            <w:r>
              <w:rPr>
                <w:rFonts w:ascii="Calibri" w:hAnsi="Calibri"/>
                <w:b/>
                <w:color w:val="333333"/>
                <w:sz w:val="20"/>
              </w:rPr>
              <w:t>Peer Wellbeing Score</w:t>
            </w:r>
          </w:p>
        </w:tc>
        <w:tc>
          <w:tcPr>
            <w:tcW w:type="dxa" w:w="1417"/>
          </w:tcPr>
          <w:p>
            <w:pPr>
              <w:spacing w:before="40" w:after="40"/>
              <w:jc w:val="left"/>
            </w:pPr>
            <w:r>
              <w:rPr>
                <w:rFonts w:ascii="Calibri" w:hAnsi="Calibri"/>
                <w:b w:val="0"/>
                <w:color w:val="333333"/>
                <w:sz w:val="20"/>
              </w:rPr>
              <w:t>3.72</w:t>
            </w:r>
          </w:p>
        </w:tc>
        <w:tc>
          <w:tcPr>
            <w:tcW w:type="dxa" w:w="1587"/>
          </w:tcPr>
          <w:p>
            <w:pPr>
              <w:spacing w:before="40" w:after="40"/>
              <w:jc w:val="left"/>
            </w:pPr>
            <w:r>
              <w:rPr>
                <w:rFonts w:ascii="Calibri" w:hAnsi="Calibri"/>
                <w:b w:val="0"/>
                <w:color w:val="333333"/>
                <w:sz w:val="20"/>
              </w:rPr>
              <w:t>3.76</w:t>
            </w:r>
          </w:p>
        </w:tc>
        <w:tc>
          <w:tcPr>
            <w:tcW w:type="dxa" w:w="1247"/>
          </w:tcPr>
          <w:p>
            <w:pPr>
              <w:spacing w:before="40" w:after="40"/>
              <w:jc w:val="left"/>
            </w:pPr>
            <w:r>
              <w:rPr>
                <w:rFonts w:ascii="Calibri" w:hAnsi="Calibri"/>
                <w:b w:val="0"/>
                <w:color w:val="333333"/>
                <w:sz w:val="20"/>
              </w:rPr>
              <w:t>+0.04</w:t>
            </w:r>
          </w:p>
        </w:tc>
        <w:tc>
          <w:tcPr>
            <w:tcW w:type="dxa" w:w="1134"/>
          </w:tcPr>
          <w:p>
            <w:pPr>
              <w:spacing w:before="40" w:after="40"/>
              <w:jc w:val="left"/>
            </w:pPr>
            <w:r>
              <w:rPr>
                <w:rFonts w:ascii="Calibri" w:hAnsi="Calibri"/>
                <w:b w:val="0"/>
                <w:color w:val="333333"/>
                <w:sz w:val="20"/>
              </w:rPr>
              <w:t>LOW</w:t>
            </w:r>
          </w:p>
        </w:tc>
      </w:tr>
      <w:tr>
        <w:tc>
          <w:tcPr>
            <w:tcW w:type="dxa" w:w="2551"/>
            <w:shd w:fill="EBF0F5"/>
          </w:tcPr>
          <w:p>
            <w:pPr>
              <w:spacing w:before="40" w:after="40"/>
              <w:jc w:val="left"/>
            </w:pPr>
            <w:r>
              <w:rPr>
                <w:rFonts w:ascii="Calibri" w:hAnsi="Calibri"/>
                <w:b/>
                <w:color w:val="333333"/>
                <w:sz w:val="20"/>
              </w:rPr>
              <w:t>Manager Effectiveness</w:t>
            </w:r>
          </w:p>
        </w:tc>
        <w:tc>
          <w:tcPr>
            <w:tcW w:type="dxa" w:w="1417"/>
            <w:shd w:fill="EBF0F5"/>
          </w:tcPr>
          <w:p>
            <w:pPr>
              <w:spacing w:before="40" w:after="40"/>
              <w:jc w:val="left"/>
            </w:pPr>
            <w:r>
              <w:rPr>
                <w:rFonts w:ascii="Calibri" w:hAnsi="Calibri"/>
                <w:b w:val="0"/>
                <w:color w:val="333333"/>
                <w:sz w:val="20"/>
              </w:rPr>
              <w:t>3.95</w:t>
            </w:r>
          </w:p>
        </w:tc>
        <w:tc>
          <w:tcPr>
            <w:tcW w:type="dxa" w:w="1587"/>
            <w:shd w:fill="EBF0F5"/>
          </w:tcPr>
          <w:p>
            <w:pPr>
              <w:spacing w:before="40" w:after="40"/>
              <w:jc w:val="left"/>
            </w:pPr>
            <w:r>
              <w:rPr>
                <w:rFonts w:ascii="Calibri" w:hAnsi="Calibri"/>
                <w:b w:val="0"/>
                <w:color w:val="333333"/>
                <w:sz w:val="20"/>
              </w:rPr>
              <w:t>3.61</w:t>
            </w:r>
          </w:p>
        </w:tc>
        <w:tc>
          <w:tcPr>
            <w:tcW w:type="dxa" w:w="1247"/>
            <w:shd w:fill="EBF0F5"/>
          </w:tcPr>
          <w:p>
            <w:pPr>
              <w:spacing w:before="40" w:after="40"/>
              <w:jc w:val="left"/>
            </w:pPr>
            <w:r>
              <w:rPr>
                <w:rFonts w:ascii="Calibri" w:hAnsi="Calibri"/>
                <w:b w:val="0"/>
                <w:color w:val="333333"/>
                <w:sz w:val="20"/>
              </w:rPr>
              <w:t>-0.34</w:t>
            </w:r>
          </w:p>
        </w:tc>
        <w:tc>
          <w:tcPr>
            <w:tcW w:type="dxa" w:w="1134"/>
            <w:shd w:fill="EBF0F5"/>
          </w:tcPr>
          <w:p>
            <w:pPr>
              <w:spacing w:before="40" w:after="40"/>
              <w:jc w:val="left"/>
            </w:pPr>
            <w:r>
              <w:rPr>
                <w:rFonts w:ascii="Calibri" w:hAnsi="Calibri"/>
                <w:b w:val="0"/>
                <w:color w:val="333333"/>
                <w:sz w:val="20"/>
              </w:rPr>
              <w:t>MODERATE</w:t>
            </w:r>
          </w:p>
        </w:tc>
      </w:tr>
      <w:tr>
        <w:tc>
          <w:tcPr>
            <w:tcW w:type="dxa" w:w="2551"/>
          </w:tcPr>
          <w:p>
            <w:pPr>
              <w:spacing w:before="40" w:after="40"/>
              <w:jc w:val="left"/>
            </w:pPr>
            <w:r>
              <w:rPr>
                <w:rFonts w:ascii="Calibri" w:hAnsi="Calibri"/>
                <w:b/>
                <w:color w:val="333333"/>
                <w:sz w:val="20"/>
              </w:rPr>
              <w:t>Team Workload Index</w:t>
            </w:r>
          </w:p>
        </w:tc>
        <w:tc>
          <w:tcPr>
            <w:tcW w:type="dxa" w:w="1417"/>
          </w:tcPr>
          <w:p>
            <w:pPr>
              <w:spacing w:before="40" w:after="40"/>
              <w:jc w:val="left"/>
            </w:pPr>
            <w:r>
              <w:rPr>
                <w:rFonts w:ascii="Calibri" w:hAnsi="Calibri"/>
                <w:b w:val="0"/>
                <w:color w:val="333333"/>
                <w:sz w:val="20"/>
              </w:rPr>
              <w:t>58%</w:t>
            </w:r>
          </w:p>
        </w:tc>
        <w:tc>
          <w:tcPr>
            <w:tcW w:type="dxa" w:w="1587"/>
          </w:tcPr>
          <w:p>
            <w:pPr>
              <w:spacing w:before="40" w:after="40"/>
              <w:jc w:val="left"/>
            </w:pPr>
            <w:r>
              <w:rPr>
                <w:rFonts w:ascii="Calibri" w:hAnsi="Calibri"/>
                <w:b w:val="0"/>
                <w:color w:val="333333"/>
                <w:sz w:val="20"/>
              </w:rPr>
              <w:t>67%</w:t>
            </w:r>
          </w:p>
        </w:tc>
        <w:tc>
          <w:tcPr>
            <w:tcW w:type="dxa" w:w="1247"/>
          </w:tcPr>
          <w:p>
            <w:pPr>
              <w:spacing w:before="40" w:after="40"/>
              <w:jc w:val="left"/>
            </w:pPr>
            <w:r>
              <w:rPr>
                <w:rFonts w:ascii="Calibri" w:hAnsi="Calibri"/>
                <w:b w:val="0"/>
                <w:color w:val="333333"/>
                <w:sz w:val="20"/>
              </w:rPr>
              <w:t>+9 pp</w:t>
            </w:r>
          </w:p>
        </w:tc>
        <w:tc>
          <w:tcPr>
            <w:tcW w:type="dxa" w:w="1134"/>
          </w:tcPr>
          <w:p>
            <w:pPr>
              <w:spacing w:before="40" w:after="40"/>
              <w:jc w:val="left"/>
            </w:pPr>
            <w:r>
              <w:rPr>
                <w:rFonts w:ascii="Calibri" w:hAnsi="Calibri"/>
                <w:b w:val="0"/>
                <w:color w:val="333333"/>
                <w:sz w:val="20"/>
              </w:rPr>
              <w:t>LOW</w:t>
            </w:r>
          </w:p>
        </w:tc>
      </w:tr>
      <w:tr>
        <w:tc>
          <w:tcPr>
            <w:tcW w:type="dxa" w:w="2551"/>
            <w:shd w:fill="EBF0F5"/>
          </w:tcPr>
          <w:p>
            <w:pPr>
              <w:spacing w:before="40" w:after="40"/>
              <w:jc w:val="left"/>
            </w:pPr>
            <w:r>
              <w:rPr>
                <w:rFonts w:ascii="Calibri" w:hAnsi="Calibri"/>
                <w:b/>
                <w:color w:val="333333"/>
                <w:sz w:val="20"/>
              </w:rPr>
              <w:t>Voluntary Attrition Signal</w:t>
            </w:r>
          </w:p>
        </w:tc>
        <w:tc>
          <w:tcPr>
            <w:tcW w:type="dxa" w:w="1417"/>
            <w:shd w:fill="EBF0F5"/>
          </w:tcPr>
          <w:p>
            <w:pPr>
              <w:spacing w:before="40" w:after="40"/>
              <w:jc w:val="left"/>
            </w:pPr>
            <w:r>
              <w:rPr>
                <w:rFonts w:ascii="Calibri" w:hAnsi="Calibri"/>
                <w:b w:val="0"/>
                <w:color w:val="333333"/>
                <w:sz w:val="20"/>
              </w:rPr>
              <w:t>0</w:t>
            </w:r>
          </w:p>
        </w:tc>
        <w:tc>
          <w:tcPr>
            <w:tcW w:type="dxa" w:w="1587"/>
            <w:shd w:fill="EBF0F5"/>
          </w:tcPr>
          <w:p>
            <w:pPr>
              <w:spacing w:before="40" w:after="40"/>
              <w:jc w:val="left"/>
            </w:pPr>
            <w:r>
              <w:rPr>
                <w:rFonts w:ascii="Calibri" w:hAnsi="Calibri"/>
                <w:b w:val="0"/>
                <w:color w:val="333333"/>
                <w:sz w:val="20"/>
              </w:rPr>
              <w:t>0 signals</w:t>
            </w:r>
          </w:p>
        </w:tc>
        <w:tc>
          <w:tcPr>
            <w:tcW w:type="dxa" w:w="1247"/>
            <w:shd w:fill="EBF0F5"/>
          </w:tcPr>
          <w:p>
            <w:pPr>
              <w:spacing w:before="40" w:after="40"/>
              <w:jc w:val="left"/>
            </w:pPr>
            <w:r>
              <w:rPr>
                <w:rFonts w:ascii="Calibri" w:hAnsi="Calibri"/>
                <w:b w:val="0"/>
                <w:color w:val="333333"/>
                <w:sz w:val="20"/>
              </w:rPr>
              <w:t>0</w:t>
            </w:r>
          </w:p>
        </w:tc>
        <w:tc>
          <w:tcPr>
            <w:tcW w:type="dxa" w:w="1134"/>
            <w:shd w:fill="EBF0F5"/>
          </w:tcPr>
          <w:p>
            <w:pPr>
              <w:spacing w:before="40" w:after="40"/>
              <w:jc w:val="left"/>
            </w:pPr>
            <w:r>
              <w:rPr>
                <w:rFonts w:ascii="Calibri" w:hAnsi="Calibri"/>
                <w:b w:val="0"/>
                <w:color w:val="333333"/>
                <w:sz w:val="20"/>
              </w:rPr>
              <w:t>LOW</w:t>
            </w:r>
          </w:p>
        </w:tc>
      </w:tr>
      <w:tr>
        <w:tc>
          <w:tcPr>
            <w:tcW w:type="dxa" w:w="2551"/>
          </w:tcPr>
          <w:p>
            <w:pPr>
              <w:spacing w:before="40" w:after="40"/>
              <w:jc w:val="left"/>
            </w:pPr>
            <w:r>
              <w:rPr>
                <w:rFonts w:ascii="Calibri" w:hAnsi="Calibri"/>
                <w:b/>
                <w:color w:val="333333"/>
                <w:sz w:val="20"/>
              </w:rPr>
              <w:t>Cross-Training Coverage</w:t>
            </w:r>
          </w:p>
        </w:tc>
        <w:tc>
          <w:tcPr>
            <w:tcW w:type="dxa" w:w="1417"/>
          </w:tcPr>
          <w:p>
            <w:pPr>
              <w:spacing w:before="40" w:after="40"/>
              <w:jc w:val="left"/>
            </w:pPr>
            <w:r>
              <w:rPr>
                <w:rFonts w:ascii="Calibri" w:hAnsi="Calibri"/>
                <w:b w:val="0"/>
                <w:color w:val="333333"/>
                <w:sz w:val="20"/>
              </w:rPr>
              <w:t>85%</w:t>
            </w:r>
          </w:p>
        </w:tc>
        <w:tc>
          <w:tcPr>
            <w:tcW w:type="dxa" w:w="1587"/>
          </w:tcPr>
          <w:p>
            <w:pPr>
              <w:spacing w:before="40" w:after="40"/>
              <w:jc w:val="left"/>
            </w:pPr>
            <w:r>
              <w:rPr>
                <w:rFonts w:ascii="Calibri" w:hAnsi="Calibri"/>
                <w:b w:val="0"/>
                <w:color w:val="333333"/>
                <w:sz w:val="20"/>
              </w:rPr>
              <w:t>82%</w:t>
            </w:r>
          </w:p>
        </w:tc>
        <w:tc>
          <w:tcPr>
            <w:tcW w:type="dxa" w:w="1247"/>
          </w:tcPr>
          <w:p>
            <w:pPr>
              <w:spacing w:before="40" w:after="40"/>
              <w:jc w:val="left"/>
            </w:pPr>
            <w:r>
              <w:rPr>
                <w:rFonts w:ascii="Calibri" w:hAnsi="Calibri"/>
                <w:b w:val="0"/>
                <w:color w:val="333333"/>
                <w:sz w:val="20"/>
              </w:rPr>
              <w:t>-3 pp</w:t>
            </w:r>
          </w:p>
        </w:tc>
        <w:tc>
          <w:tcPr>
            <w:tcW w:type="dxa" w:w="1134"/>
          </w:tcPr>
          <w:p>
            <w:pPr>
              <w:spacing w:before="40" w:after="40"/>
              <w:jc w:val="left"/>
            </w:pPr>
            <w:r>
              <w:rPr>
                <w:rFonts w:ascii="Calibri" w:hAnsi="Calibri"/>
                <w:b w:val="0"/>
                <w:color w:val="333333"/>
                <w:sz w:val="20"/>
              </w:rPr>
              <w:t>MONITOR</w:t>
            </w:r>
          </w:p>
        </w:tc>
      </w:tr>
    </w:tbl>
    <w:p>
      <w:pPr>
        <w:spacing w:after="160"/>
      </w:pPr>
    </w:p>
    <w:p>
      <w:pPr>
        <w:spacing w:before="360" w:after="160"/>
        <w:jc w:val="left"/>
      </w:pPr>
      <w:r>
        <w:rPr>
          <w:rFonts w:ascii="Calibri" w:hAnsi="Calibri"/>
          <w:b/>
          <w:color w:val="1F4E79"/>
          <w:sz w:val="26"/>
        </w:rPr>
        <w:t>Case 3: Employee E05010 (Replaced — Wellbeing Recovery)</w:t>
      </w:r>
    </w:p>
    <w:p>
      <w:r>
        <w:rPr>
          <w:b/>
        </w:rPr>
        <w:t xml:space="preserve">Status: </w:t>
      </w:r>
      <w:r>
        <w:t>Role backfilled within 21 days.</w:t>
      </w:r>
    </w:p>
    <w:p>
      <w:r>
        <w:rPr>
          <w:b/>
        </w:rPr>
        <w:t xml:space="preserve">Summary: </w:t>
      </w:r>
      <w:r>
        <w:t>E05010 departed and was replaced within three weeks. Peer wellbeing improved by +0.178 points after the replacement joined, as workload normalized and team morale stabilized. Manager effectiveness still declined by 0.22 points due to onboarding overhead, but this was the smallest manager impact among all four cases. The replacement hire was internal, which accelerated ramp-up and minimized disruption.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F4E79"/>
          </w:tcPr>
          <w:p>
            <w:pPr>
              <w:spacing w:before="40" w:after="40"/>
              <w:jc w:val="left"/>
            </w:pPr>
            <w:r>
              <w:rPr>
                <w:rFonts w:ascii="Calibri" w:hAnsi="Calibri"/>
                <w:b/>
                <w:color w:val="FFFFFF"/>
                <w:sz w:val="20"/>
              </w:rPr>
              <w:t>Metric</w:t>
            </w:r>
          </w:p>
        </w:tc>
        <w:tc>
          <w:tcPr>
            <w:tcW w:type="dxa" w:w="1417"/>
            <w:shd w:fill="1F4E79"/>
          </w:tcPr>
          <w:p>
            <w:pPr>
              <w:spacing w:before="40" w:after="40"/>
              <w:jc w:val="left"/>
            </w:pPr>
            <w:r>
              <w:rPr>
                <w:rFonts w:ascii="Calibri" w:hAnsi="Calibri"/>
                <w:b/>
                <w:color w:val="FFFFFF"/>
                <w:sz w:val="20"/>
              </w:rPr>
              <w:t>Pre-Exit</w:t>
            </w:r>
          </w:p>
        </w:tc>
        <w:tc>
          <w:tcPr>
            <w:tcW w:type="dxa" w:w="1587"/>
            <w:shd w:fill="1F4E79"/>
          </w:tcPr>
          <w:p>
            <w:pPr>
              <w:spacing w:before="40" w:after="40"/>
              <w:jc w:val="left"/>
            </w:pPr>
            <w:r>
              <w:rPr>
                <w:rFonts w:ascii="Calibri" w:hAnsi="Calibri"/>
                <w:b/>
                <w:color w:val="FFFFFF"/>
                <w:sz w:val="20"/>
              </w:rPr>
              <w:t>Post-Exit (30d)</w:t>
            </w:r>
          </w:p>
        </w:tc>
        <w:tc>
          <w:tcPr>
            <w:tcW w:type="dxa" w:w="1247"/>
            <w:shd w:fill="1F4E79"/>
          </w:tcPr>
          <w:p>
            <w:pPr>
              <w:spacing w:before="40" w:after="40"/>
              <w:jc w:val="left"/>
            </w:pPr>
            <w:r>
              <w:rPr>
                <w:rFonts w:ascii="Calibri" w:hAnsi="Calibri"/>
                <w:b/>
                <w:color w:val="FFFFFF"/>
                <w:sz w:val="20"/>
              </w:rPr>
              <w:t>Delta</w:t>
            </w:r>
          </w:p>
        </w:tc>
        <w:tc>
          <w:tcPr>
            <w:tcW w:type="dxa" w:w="1134"/>
            <w:shd w:fill="1F4E79"/>
          </w:tcPr>
          <w:p>
            <w:pPr>
              <w:spacing w:before="40" w:after="40"/>
              <w:jc w:val="left"/>
            </w:pPr>
            <w:r>
              <w:rPr>
                <w:rFonts w:ascii="Calibri" w:hAnsi="Calibri"/>
                <w:b/>
                <w:color w:val="FFFFFF"/>
                <w:sz w:val="20"/>
              </w:rPr>
              <w:t>Risk Flag</w:t>
            </w:r>
          </w:p>
        </w:tc>
      </w:tr>
      <w:tr>
        <w:tc>
          <w:tcPr>
            <w:tcW w:type="dxa" w:w="2551"/>
          </w:tcPr>
          <w:p>
            <w:pPr>
              <w:spacing w:before="40" w:after="40"/>
              <w:jc w:val="left"/>
            </w:pPr>
            <w:r>
              <w:rPr>
                <w:rFonts w:ascii="Calibri" w:hAnsi="Calibri"/>
                <w:b/>
                <w:color w:val="333333"/>
                <w:sz w:val="20"/>
              </w:rPr>
              <w:t>Peer Wellbeing Score</w:t>
            </w:r>
          </w:p>
        </w:tc>
        <w:tc>
          <w:tcPr>
            <w:tcW w:type="dxa" w:w="1417"/>
          </w:tcPr>
          <w:p>
            <w:pPr>
              <w:spacing w:before="40" w:after="40"/>
              <w:jc w:val="left"/>
            </w:pPr>
            <w:r>
              <w:rPr>
                <w:rFonts w:ascii="Calibri" w:hAnsi="Calibri"/>
                <w:b w:val="0"/>
                <w:color w:val="333333"/>
                <w:sz w:val="20"/>
              </w:rPr>
              <w:t>3.55</w:t>
            </w:r>
          </w:p>
        </w:tc>
        <w:tc>
          <w:tcPr>
            <w:tcW w:type="dxa" w:w="1587"/>
          </w:tcPr>
          <w:p>
            <w:pPr>
              <w:spacing w:before="40" w:after="40"/>
              <w:jc w:val="left"/>
            </w:pPr>
            <w:r>
              <w:rPr>
                <w:rFonts w:ascii="Calibri" w:hAnsi="Calibri"/>
                <w:b w:val="0"/>
                <w:color w:val="333333"/>
                <w:sz w:val="20"/>
              </w:rPr>
              <w:t>3.73</w:t>
            </w:r>
          </w:p>
        </w:tc>
        <w:tc>
          <w:tcPr>
            <w:tcW w:type="dxa" w:w="1247"/>
          </w:tcPr>
          <w:p>
            <w:pPr>
              <w:spacing w:before="40" w:after="40"/>
              <w:jc w:val="left"/>
            </w:pPr>
            <w:r>
              <w:rPr>
                <w:rFonts w:ascii="Calibri" w:hAnsi="Calibri"/>
                <w:b w:val="0"/>
                <w:color w:val="333333"/>
                <w:sz w:val="20"/>
              </w:rPr>
              <w:t>+0.178</w:t>
            </w:r>
          </w:p>
        </w:tc>
        <w:tc>
          <w:tcPr>
            <w:tcW w:type="dxa" w:w="1134"/>
          </w:tcPr>
          <w:p>
            <w:pPr>
              <w:spacing w:before="40" w:after="40"/>
              <w:jc w:val="left"/>
            </w:pPr>
            <w:r>
              <w:rPr>
                <w:rFonts w:ascii="Calibri" w:hAnsi="Calibri"/>
                <w:b w:val="0"/>
                <w:color w:val="333333"/>
                <w:sz w:val="20"/>
              </w:rPr>
              <w:t>LOW</w:t>
            </w:r>
          </w:p>
        </w:tc>
      </w:tr>
      <w:tr>
        <w:tc>
          <w:tcPr>
            <w:tcW w:type="dxa" w:w="2551"/>
            <w:shd w:fill="EBF0F5"/>
          </w:tcPr>
          <w:p>
            <w:pPr>
              <w:spacing w:before="40" w:after="40"/>
              <w:jc w:val="left"/>
            </w:pPr>
            <w:r>
              <w:rPr>
                <w:rFonts w:ascii="Calibri" w:hAnsi="Calibri"/>
                <w:b/>
                <w:color w:val="333333"/>
                <w:sz w:val="20"/>
              </w:rPr>
              <w:t>Manager Effectiveness</w:t>
            </w:r>
          </w:p>
        </w:tc>
        <w:tc>
          <w:tcPr>
            <w:tcW w:type="dxa" w:w="1417"/>
            <w:shd w:fill="EBF0F5"/>
          </w:tcPr>
          <w:p>
            <w:pPr>
              <w:spacing w:before="40" w:after="40"/>
              <w:jc w:val="left"/>
            </w:pPr>
            <w:r>
              <w:rPr>
                <w:rFonts w:ascii="Calibri" w:hAnsi="Calibri"/>
                <w:b w:val="0"/>
                <w:color w:val="333333"/>
                <w:sz w:val="20"/>
              </w:rPr>
              <w:t>3.88</w:t>
            </w:r>
          </w:p>
        </w:tc>
        <w:tc>
          <w:tcPr>
            <w:tcW w:type="dxa" w:w="1587"/>
            <w:shd w:fill="EBF0F5"/>
          </w:tcPr>
          <w:p>
            <w:pPr>
              <w:spacing w:before="40" w:after="40"/>
              <w:jc w:val="left"/>
            </w:pPr>
            <w:r>
              <w:rPr>
                <w:rFonts w:ascii="Calibri" w:hAnsi="Calibri"/>
                <w:b w:val="0"/>
                <w:color w:val="333333"/>
                <w:sz w:val="20"/>
              </w:rPr>
              <w:t>3.66</w:t>
            </w:r>
          </w:p>
        </w:tc>
        <w:tc>
          <w:tcPr>
            <w:tcW w:type="dxa" w:w="1247"/>
            <w:shd w:fill="EBF0F5"/>
          </w:tcPr>
          <w:p>
            <w:pPr>
              <w:spacing w:before="40" w:after="40"/>
              <w:jc w:val="left"/>
            </w:pPr>
            <w:r>
              <w:rPr>
                <w:rFonts w:ascii="Calibri" w:hAnsi="Calibri"/>
                <w:b w:val="0"/>
                <w:color w:val="333333"/>
                <w:sz w:val="20"/>
              </w:rPr>
              <w:t>-0.22</w:t>
            </w:r>
          </w:p>
        </w:tc>
        <w:tc>
          <w:tcPr>
            <w:tcW w:type="dxa" w:w="1134"/>
            <w:shd w:fill="EBF0F5"/>
          </w:tcPr>
          <w:p>
            <w:pPr>
              <w:spacing w:before="40" w:after="40"/>
              <w:jc w:val="left"/>
            </w:pPr>
            <w:r>
              <w:rPr>
                <w:rFonts w:ascii="Calibri" w:hAnsi="Calibri"/>
                <w:b w:val="0"/>
                <w:color w:val="333333"/>
                <w:sz w:val="20"/>
              </w:rPr>
              <w:t>LOW</w:t>
            </w:r>
          </w:p>
        </w:tc>
      </w:tr>
      <w:tr>
        <w:tc>
          <w:tcPr>
            <w:tcW w:type="dxa" w:w="2551"/>
          </w:tcPr>
          <w:p>
            <w:pPr>
              <w:spacing w:before="40" w:after="40"/>
              <w:jc w:val="left"/>
            </w:pPr>
            <w:r>
              <w:rPr>
                <w:rFonts w:ascii="Calibri" w:hAnsi="Calibri"/>
                <w:b/>
                <w:color w:val="333333"/>
                <w:sz w:val="20"/>
              </w:rPr>
              <w:t>Team Workload Index</w:t>
            </w:r>
          </w:p>
        </w:tc>
        <w:tc>
          <w:tcPr>
            <w:tcW w:type="dxa" w:w="1417"/>
          </w:tcPr>
          <w:p>
            <w:pPr>
              <w:spacing w:before="40" w:after="40"/>
              <w:jc w:val="left"/>
            </w:pPr>
            <w:r>
              <w:rPr>
                <w:rFonts w:ascii="Calibri" w:hAnsi="Calibri"/>
                <w:b w:val="0"/>
                <w:color w:val="333333"/>
                <w:sz w:val="20"/>
              </w:rPr>
              <w:t>71%</w:t>
            </w:r>
          </w:p>
        </w:tc>
        <w:tc>
          <w:tcPr>
            <w:tcW w:type="dxa" w:w="1587"/>
          </w:tcPr>
          <w:p>
            <w:pPr>
              <w:spacing w:before="40" w:after="40"/>
              <w:jc w:val="left"/>
            </w:pPr>
            <w:r>
              <w:rPr>
                <w:rFonts w:ascii="Calibri" w:hAnsi="Calibri"/>
                <w:b w:val="0"/>
                <w:color w:val="333333"/>
                <w:sz w:val="20"/>
              </w:rPr>
              <w:t>68%</w:t>
            </w:r>
          </w:p>
        </w:tc>
        <w:tc>
          <w:tcPr>
            <w:tcW w:type="dxa" w:w="1247"/>
          </w:tcPr>
          <w:p>
            <w:pPr>
              <w:spacing w:before="40" w:after="40"/>
              <w:jc w:val="left"/>
            </w:pPr>
            <w:r>
              <w:rPr>
                <w:rFonts w:ascii="Calibri" w:hAnsi="Calibri"/>
                <w:b w:val="0"/>
                <w:color w:val="333333"/>
                <w:sz w:val="20"/>
              </w:rPr>
              <w:t>-3 pp</w:t>
            </w:r>
          </w:p>
        </w:tc>
        <w:tc>
          <w:tcPr>
            <w:tcW w:type="dxa" w:w="1134"/>
          </w:tcPr>
          <w:p>
            <w:pPr>
              <w:spacing w:before="40" w:after="40"/>
              <w:jc w:val="left"/>
            </w:pPr>
            <w:r>
              <w:rPr>
                <w:rFonts w:ascii="Calibri" w:hAnsi="Calibri"/>
                <w:b w:val="0"/>
                <w:color w:val="333333"/>
                <w:sz w:val="20"/>
              </w:rPr>
              <w:t>LOW</w:t>
            </w:r>
          </w:p>
        </w:tc>
      </w:tr>
      <w:tr>
        <w:tc>
          <w:tcPr>
            <w:tcW w:type="dxa" w:w="2551"/>
            <w:shd w:fill="EBF0F5"/>
          </w:tcPr>
          <w:p>
            <w:pPr>
              <w:spacing w:before="40" w:after="40"/>
              <w:jc w:val="left"/>
            </w:pPr>
            <w:r>
              <w:rPr>
                <w:rFonts w:ascii="Calibri" w:hAnsi="Calibri"/>
                <w:b/>
                <w:color w:val="333333"/>
                <w:sz w:val="20"/>
              </w:rPr>
              <w:t>Voluntary Attrition Signal</w:t>
            </w:r>
          </w:p>
        </w:tc>
        <w:tc>
          <w:tcPr>
            <w:tcW w:type="dxa" w:w="1417"/>
            <w:shd w:fill="EBF0F5"/>
          </w:tcPr>
          <w:p>
            <w:pPr>
              <w:spacing w:before="40" w:after="40"/>
              <w:jc w:val="left"/>
            </w:pPr>
            <w:r>
              <w:rPr>
                <w:rFonts w:ascii="Calibri" w:hAnsi="Calibri"/>
                <w:b w:val="0"/>
                <w:color w:val="333333"/>
                <w:sz w:val="20"/>
              </w:rPr>
              <w:t>0</w:t>
            </w:r>
          </w:p>
        </w:tc>
        <w:tc>
          <w:tcPr>
            <w:tcW w:type="dxa" w:w="1587"/>
            <w:shd w:fill="EBF0F5"/>
          </w:tcPr>
          <w:p>
            <w:pPr>
              <w:spacing w:before="40" w:after="40"/>
              <w:jc w:val="left"/>
            </w:pPr>
            <w:r>
              <w:rPr>
                <w:rFonts w:ascii="Calibri" w:hAnsi="Calibri"/>
                <w:b w:val="0"/>
                <w:color w:val="333333"/>
                <w:sz w:val="20"/>
              </w:rPr>
              <w:t>0 signals</w:t>
            </w:r>
          </w:p>
        </w:tc>
        <w:tc>
          <w:tcPr>
            <w:tcW w:type="dxa" w:w="1247"/>
            <w:shd w:fill="EBF0F5"/>
          </w:tcPr>
          <w:p>
            <w:pPr>
              <w:spacing w:before="40" w:after="40"/>
              <w:jc w:val="left"/>
            </w:pPr>
            <w:r>
              <w:rPr>
                <w:rFonts w:ascii="Calibri" w:hAnsi="Calibri"/>
                <w:b w:val="0"/>
                <w:color w:val="333333"/>
                <w:sz w:val="20"/>
              </w:rPr>
              <w:t>0</w:t>
            </w:r>
          </w:p>
        </w:tc>
        <w:tc>
          <w:tcPr>
            <w:tcW w:type="dxa" w:w="1134"/>
            <w:shd w:fill="EBF0F5"/>
          </w:tcPr>
          <w:p>
            <w:pPr>
              <w:spacing w:before="40" w:after="40"/>
              <w:jc w:val="left"/>
            </w:pPr>
            <w:r>
              <w:rPr>
                <w:rFonts w:ascii="Calibri" w:hAnsi="Calibri"/>
                <w:b w:val="0"/>
                <w:color w:val="333333"/>
                <w:sz w:val="20"/>
              </w:rPr>
              <w:t>LOW</w:t>
            </w:r>
          </w:p>
        </w:tc>
      </w:tr>
      <w:tr>
        <w:tc>
          <w:tcPr>
            <w:tcW w:type="dxa" w:w="2551"/>
          </w:tcPr>
          <w:p>
            <w:pPr>
              <w:spacing w:before="40" w:after="40"/>
              <w:jc w:val="left"/>
            </w:pPr>
            <w:r>
              <w:rPr>
                <w:rFonts w:ascii="Calibri" w:hAnsi="Calibri"/>
                <w:b/>
                <w:color w:val="333333"/>
                <w:sz w:val="20"/>
              </w:rPr>
              <w:t>Replacement Time-to-Fill</w:t>
            </w:r>
          </w:p>
        </w:tc>
        <w:tc>
          <w:tcPr>
            <w:tcW w:type="dxa" w:w="1417"/>
          </w:tcPr>
          <w:p>
            <w:pPr>
              <w:spacing w:before="40" w:after="40"/>
              <w:jc w:val="left"/>
            </w:pPr>
            <w:r>
              <w:rPr>
                <w:rFonts w:ascii="Calibri" w:hAnsi="Calibri"/>
                <w:b w:val="0"/>
                <w:color w:val="333333"/>
                <w:sz w:val="20"/>
              </w:rPr>
              <w:t>—</w:t>
            </w:r>
          </w:p>
        </w:tc>
        <w:tc>
          <w:tcPr>
            <w:tcW w:type="dxa" w:w="1587"/>
          </w:tcPr>
          <w:p>
            <w:pPr>
              <w:spacing w:before="40" w:after="40"/>
              <w:jc w:val="left"/>
            </w:pPr>
            <w:r>
              <w:rPr>
                <w:rFonts w:ascii="Calibri" w:hAnsi="Calibri"/>
                <w:b w:val="0"/>
                <w:color w:val="333333"/>
                <w:sz w:val="20"/>
              </w:rPr>
              <w:t>21 days</w:t>
            </w:r>
          </w:p>
        </w:tc>
        <w:tc>
          <w:tcPr>
            <w:tcW w:type="dxa" w:w="1247"/>
          </w:tcPr>
          <w:p>
            <w:pPr>
              <w:spacing w:before="40" w:after="40"/>
              <w:jc w:val="left"/>
            </w:pPr>
            <w:r>
              <w:rPr>
                <w:rFonts w:ascii="Calibri" w:hAnsi="Calibri"/>
                <w:b w:val="0"/>
                <w:color w:val="333333"/>
                <w:sz w:val="20"/>
              </w:rPr>
              <w:t>N/A</w:t>
            </w:r>
          </w:p>
        </w:tc>
        <w:tc>
          <w:tcPr>
            <w:tcW w:type="dxa" w:w="1134"/>
          </w:tcPr>
          <w:p>
            <w:pPr>
              <w:spacing w:before="40" w:after="40"/>
              <w:jc w:val="left"/>
            </w:pPr>
            <w:r>
              <w:rPr>
                <w:rFonts w:ascii="Calibri" w:hAnsi="Calibri"/>
                <w:b w:val="0"/>
                <w:color w:val="333333"/>
                <w:sz w:val="20"/>
              </w:rPr>
              <w:t>MONITOR</w:t>
            </w:r>
          </w:p>
        </w:tc>
      </w:tr>
    </w:tbl>
    <w:p>
      <w:pPr>
        <w:spacing w:after="160"/>
      </w:pPr>
    </w:p>
    <w:p>
      <w:pPr>
        <w:spacing w:before="360" w:after="160"/>
        <w:jc w:val="left"/>
      </w:pPr>
      <w:r>
        <w:rPr>
          <w:rFonts w:ascii="Calibri" w:hAnsi="Calibri"/>
          <w:b/>
          <w:color w:val="1F4E79"/>
          <w:sz w:val="26"/>
        </w:rPr>
        <w:t>Case 4: Employee E02850 (Replaced — Strongest Recovery)</w:t>
      </w:r>
    </w:p>
    <w:p>
      <w:r>
        <w:rPr>
          <w:b/>
        </w:rPr>
        <w:t xml:space="preserve">Status: </w:t>
      </w:r>
      <w:r>
        <w:t>Role backfilled within 14 days.</w:t>
      </w:r>
    </w:p>
    <w:p>
      <w:r>
        <w:rPr>
          <w:b/>
        </w:rPr>
        <w:t xml:space="preserve">Summary: </w:t>
      </w:r>
      <w:r>
        <w:t>E02850 was replaced within two weeks, achieving the strongest wellbeing recovery of all cases at +0.432 points. The swift replacement, combined with a structured knowledge transfer before departure, allowed peers to return to baseline workload quickly. Manager effectiveness declined by 0.41 points — a moderate drop driven by the compressed hiring timeline. This case establishes the benchmark for optimal exit management: rapid replacement plus knowledge transfer.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F4E79"/>
          </w:tcPr>
          <w:p>
            <w:pPr>
              <w:spacing w:before="40" w:after="40"/>
              <w:jc w:val="left"/>
            </w:pPr>
            <w:r>
              <w:rPr>
                <w:rFonts w:ascii="Calibri" w:hAnsi="Calibri"/>
                <w:b/>
                <w:color w:val="FFFFFF"/>
                <w:sz w:val="20"/>
              </w:rPr>
              <w:t>Metric</w:t>
            </w:r>
          </w:p>
        </w:tc>
        <w:tc>
          <w:tcPr>
            <w:tcW w:type="dxa" w:w="1417"/>
            <w:shd w:fill="1F4E79"/>
          </w:tcPr>
          <w:p>
            <w:pPr>
              <w:spacing w:before="40" w:after="40"/>
              <w:jc w:val="left"/>
            </w:pPr>
            <w:r>
              <w:rPr>
                <w:rFonts w:ascii="Calibri" w:hAnsi="Calibri"/>
                <w:b/>
                <w:color w:val="FFFFFF"/>
                <w:sz w:val="20"/>
              </w:rPr>
              <w:t>Pre-Exit</w:t>
            </w:r>
          </w:p>
        </w:tc>
        <w:tc>
          <w:tcPr>
            <w:tcW w:type="dxa" w:w="1587"/>
            <w:shd w:fill="1F4E79"/>
          </w:tcPr>
          <w:p>
            <w:pPr>
              <w:spacing w:before="40" w:after="40"/>
              <w:jc w:val="left"/>
            </w:pPr>
            <w:r>
              <w:rPr>
                <w:rFonts w:ascii="Calibri" w:hAnsi="Calibri"/>
                <w:b/>
                <w:color w:val="FFFFFF"/>
                <w:sz w:val="20"/>
              </w:rPr>
              <w:t>Post-Exit (30d)</w:t>
            </w:r>
          </w:p>
        </w:tc>
        <w:tc>
          <w:tcPr>
            <w:tcW w:type="dxa" w:w="1247"/>
            <w:shd w:fill="1F4E79"/>
          </w:tcPr>
          <w:p>
            <w:pPr>
              <w:spacing w:before="40" w:after="40"/>
              <w:jc w:val="left"/>
            </w:pPr>
            <w:r>
              <w:rPr>
                <w:rFonts w:ascii="Calibri" w:hAnsi="Calibri"/>
                <w:b/>
                <w:color w:val="FFFFFF"/>
                <w:sz w:val="20"/>
              </w:rPr>
              <w:t>Delta</w:t>
            </w:r>
          </w:p>
        </w:tc>
        <w:tc>
          <w:tcPr>
            <w:tcW w:type="dxa" w:w="1134"/>
            <w:shd w:fill="1F4E79"/>
          </w:tcPr>
          <w:p>
            <w:pPr>
              <w:spacing w:before="40" w:after="40"/>
              <w:jc w:val="left"/>
            </w:pPr>
            <w:r>
              <w:rPr>
                <w:rFonts w:ascii="Calibri" w:hAnsi="Calibri"/>
                <w:b/>
                <w:color w:val="FFFFFF"/>
                <w:sz w:val="20"/>
              </w:rPr>
              <w:t>Risk Flag</w:t>
            </w:r>
          </w:p>
        </w:tc>
      </w:tr>
      <w:tr>
        <w:tc>
          <w:tcPr>
            <w:tcW w:type="dxa" w:w="2551"/>
          </w:tcPr>
          <w:p>
            <w:pPr>
              <w:spacing w:before="40" w:after="40"/>
              <w:jc w:val="left"/>
            </w:pPr>
            <w:r>
              <w:rPr>
                <w:rFonts w:ascii="Calibri" w:hAnsi="Calibri"/>
                <w:b/>
                <w:color w:val="333333"/>
                <w:sz w:val="20"/>
              </w:rPr>
              <w:t>Peer Wellbeing Score</w:t>
            </w:r>
          </w:p>
        </w:tc>
        <w:tc>
          <w:tcPr>
            <w:tcW w:type="dxa" w:w="1417"/>
          </w:tcPr>
          <w:p>
            <w:pPr>
              <w:spacing w:before="40" w:after="40"/>
              <w:jc w:val="left"/>
            </w:pPr>
            <w:r>
              <w:rPr>
                <w:rFonts w:ascii="Calibri" w:hAnsi="Calibri"/>
                <w:b w:val="0"/>
                <w:color w:val="333333"/>
                <w:sz w:val="20"/>
              </w:rPr>
              <w:t>3.41</w:t>
            </w:r>
          </w:p>
        </w:tc>
        <w:tc>
          <w:tcPr>
            <w:tcW w:type="dxa" w:w="1587"/>
          </w:tcPr>
          <w:p>
            <w:pPr>
              <w:spacing w:before="40" w:after="40"/>
              <w:jc w:val="left"/>
            </w:pPr>
            <w:r>
              <w:rPr>
                <w:rFonts w:ascii="Calibri" w:hAnsi="Calibri"/>
                <w:b w:val="0"/>
                <w:color w:val="333333"/>
                <w:sz w:val="20"/>
              </w:rPr>
              <w:t>3.84</w:t>
            </w:r>
          </w:p>
        </w:tc>
        <w:tc>
          <w:tcPr>
            <w:tcW w:type="dxa" w:w="1247"/>
          </w:tcPr>
          <w:p>
            <w:pPr>
              <w:spacing w:before="40" w:after="40"/>
              <w:jc w:val="left"/>
            </w:pPr>
            <w:r>
              <w:rPr>
                <w:rFonts w:ascii="Calibri" w:hAnsi="Calibri"/>
                <w:b w:val="0"/>
                <w:color w:val="333333"/>
                <w:sz w:val="20"/>
              </w:rPr>
              <w:t>+0.432</w:t>
            </w:r>
          </w:p>
        </w:tc>
        <w:tc>
          <w:tcPr>
            <w:tcW w:type="dxa" w:w="1134"/>
          </w:tcPr>
          <w:p>
            <w:pPr>
              <w:spacing w:before="40" w:after="40"/>
              <w:jc w:val="left"/>
            </w:pPr>
            <w:r>
              <w:rPr>
                <w:rFonts w:ascii="Calibri" w:hAnsi="Calibri"/>
                <w:b w:val="0"/>
                <w:color w:val="333333"/>
                <w:sz w:val="20"/>
              </w:rPr>
              <w:t>LOW</w:t>
            </w:r>
          </w:p>
        </w:tc>
      </w:tr>
      <w:tr>
        <w:tc>
          <w:tcPr>
            <w:tcW w:type="dxa" w:w="2551"/>
            <w:shd w:fill="EBF0F5"/>
          </w:tcPr>
          <w:p>
            <w:pPr>
              <w:spacing w:before="40" w:after="40"/>
              <w:jc w:val="left"/>
            </w:pPr>
            <w:r>
              <w:rPr>
                <w:rFonts w:ascii="Calibri" w:hAnsi="Calibri"/>
                <w:b/>
                <w:color w:val="333333"/>
                <w:sz w:val="20"/>
              </w:rPr>
              <w:t>Manager Effectiveness</w:t>
            </w:r>
          </w:p>
        </w:tc>
        <w:tc>
          <w:tcPr>
            <w:tcW w:type="dxa" w:w="1417"/>
            <w:shd w:fill="EBF0F5"/>
          </w:tcPr>
          <w:p>
            <w:pPr>
              <w:spacing w:before="40" w:after="40"/>
              <w:jc w:val="left"/>
            </w:pPr>
            <w:r>
              <w:rPr>
                <w:rFonts w:ascii="Calibri" w:hAnsi="Calibri"/>
                <w:b w:val="0"/>
                <w:color w:val="333333"/>
                <w:sz w:val="20"/>
              </w:rPr>
              <w:t>3.90</w:t>
            </w:r>
          </w:p>
        </w:tc>
        <w:tc>
          <w:tcPr>
            <w:tcW w:type="dxa" w:w="1587"/>
            <w:shd w:fill="EBF0F5"/>
          </w:tcPr>
          <w:p>
            <w:pPr>
              <w:spacing w:before="40" w:after="40"/>
              <w:jc w:val="left"/>
            </w:pPr>
            <w:r>
              <w:rPr>
                <w:rFonts w:ascii="Calibri" w:hAnsi="Calibri"/>
                <w:b w:val="0"/>
                <w:color w:val="333333"/>
                <w:sz w:val="20"/>
              </w:rPr>
              <w:t>3.49</w:t>
            </w:r>
          </w:p>
        </w:tc>
        <w:tc>
          <w:tcPr>
            <w:tcW w:type="dxa" w:w="1247"/>
            <w:shd w:fill="EBF0F5"/>
          </w:tcPr>
          <w:p>
            <w:pPr>
              <w:spacing w:before="40" w:after="40"/>
              <w:jc w:val="left"/>
            </w:pPr>
            <w:r>
              <w:rPr>
                <w:rFonts w:ascii="Calibri" w:hAnsi="Calibri"/>
                <w:b w:val="0"/>
                <w:color w:val="333333"/>
                <w:sz w:val="20"/>
              </w:rPr>
              <w:t>-0.41</w:t>
            </w:r>
          </w:p>
        </w:tc>
        <w:tc>
          <w:tcPr>
            <w:tcW w:type="dxa" w:w="1134"/>
            <w:shd w:fill="EBF0F5"/>
          </w:tcPr>
          <w:p>
            <w:pPr>
              <w:spacing w:before="40" w:after="40"/>
              <w:jc w:val="left"/>
            </w:pPr>
            <w:r>
              <w:rPr>
                <w:rFonts w:ascii="Calibri" w:hAnsi="Calibri"/>
                <w:b w:val="0"/>
                <w:color w:val="333333"/>
                <w:sz w:val="20"/>
              </w:rPr>
              <w:t>MODERATE</w:t>
            </w:r>
          </w:p>
        </w:tc>
      </w:tr>
      <w:tr>
        <w:tc>
          <w:tcPr>
            <w:tcW w:type="dxa" w:w="2551"/>
          </w:tcPr>
          <w:p>
            <w:pPr>
              <w:spacing w:before="40" w:after="40"/>
              <w:jc w:val="left"/>
            </w:pPr>
            <w:r>
              <w:rPr>
                <w:rFonts w:ascii="Calibri" w:hAnsi="Calibri"/>
                <w:b/>
                <w:color w:val="333333"/>
                <w:sz w:val="20"/>
              </w:rPr>
              <w:t>Team Workload Index</w:t>
            </w:r>
          </w:p>
        </w:tc>
        <w:tc>
          <w:tcPr>
            <w:tcW w:type="dxa" w:w="1417"/>
          </w:tcPr>
          <w:p>
            <w:pPr>
              <w:spacing w:before="40" w:after="40"/>
              <w:jc w:val="left"/>
            </w:pPr>
            <w:r>
              <w:rPr>
                <w:rFonts w:ascii="Calibri" w:hAnsi="Calibri"/>
                <w:b w:val="0"/>
                <w:color w:val="333333"/>
                <w:sz w:val="20"/>
              </w:rPr>
              <w:t>74%</w:t>
            </w:r>
          </w:p>
        </w:tc>
        <w:tc>
          <w:tcPr>
            <w:tcW w:type="dxa" w:w="1587"/>
          </w:tcPr>
          <w:p>
            <w:pPr>
              <w:spacing w:before="40" w:after="40"/>
              <w:jc w:val="left"/>
            </w:pPr>
            <w:r>
              <w:rPr>
                <w:rFonts w:ascii="Calibri" w:hAnsi="Calibri"/>
                <w:b w:val="0"/>
                <w:color w:val="333333"/>
                <w:sz w:val="20"/>
              </w:rPr>
              <w:t>65%</w:t>
            </w:r>
          </w:p>
        </w:tc>
        <w:tc>
          <w:tcPr>
            <w:tcW w:type="dxa" w:w="1247"/>
          </w:tcPr>
          <w:p>
            <w:pPr>
              <w:spacing w:before="40" w:after="40"/>
              <w:jc w:val="left"/>
            </w:pPr>
            <w:r>
              <w:rPr>
                <w:rFonts w:ascii="Calibri" w:hAnsi="Calibri"/>
                <w:b w:val="0"/>
                <w:color w:val="333333"/>
                <w:sz w:val="20"/>
              </w:rPr>
              <w:t>-9 pp</w:t>
            </w:r>
          </w:p>
        </w:tc>
        <w:tc>
          <w:tcPr>
            <w:tcW w:type="dxa" w:w="1134"/>
          </w:tcPr>
          <w:p>
            <w:pPr>
              <w:spacing w:before="40" w:after="40"/>
              <w:jc w:val="left"/>
            </w:pPr>
            <w:r>
              <w:rPr>
                <w:rFonts w:ascii="Calibri" w:hAnsi="Calibri"/>
                <w:b w:val="0"/>
                <w:color w:val="333333"/>
                <w:sz w:val="20"/>
              </w:rPr>
              <w:t>LOW</w:t>
            </w:r>
          </w:p>
        </w:tc>
      </w:tr>
      <w:tr>
        <w:tc>
          <w:tcPr>
            <w:tcW w:type="dxa" w:w="2551"/>
            <w:shd w:fill="EBF0F5"/>
          </w:tcPr>
          <w:p>
            <w:pPr>
              <w:spacing w:before="40" w:after="40"/>
              <w:jc w:val="left"/>
            </w:pPr>
            <w:r>
              <w:rPr>
                <w:rFonts w:ascii="Calibri" w:hAnsi="Calibri"/>
                <w:b/>
                <w:color w:val="333333"/>
                <w:sz w:val="20"/>
              </w:rPr>
              <w:t>Voluntary Attrition Signal</w:t>
            </w:r>
          </w:p>
        </w:tc>
        <w:tc>
          <w:tcPr>
            <w:tcW w:type="dxa" w:w="1417"/>
            <w:shd w:fill="EBF0F5"/>
          </w:tcPr>
          <w:p>
            <w:pPr>
              <w:spacing w:before="40" w:after="40"/>
              <w:jc w:val="left"/>
            </w:pPr>
            <w:r>
              <w:rPr>
                <w:rFonts w:ascii="Calibri" w:hAnsi="Calibri"/>
                <w:b w:val="0"/>
                <w:color w:val="333333"/>
                <w:sz w:val="20"/>
              </w:rPr>
              <w:t>0</w:t>
            </w:r>
          </w:p>
        </w:tc>
        <w:tc>
          <w:tcPr>
            <w:tcW w:type="dxa" w:w="1587"/>
            <w:shd w:fill="EBF0F5"/>
          </w:tcPr>
          <w:p>
            <w:pPr>
              <w:spacing w:before="40" w:after="40"/>
              <w:jc w:val="left"/>
            </w:pPr>
            <w:r>
              <w:rPr>
                <w:rFonts w:ascii="Calibri" w:hAnsi="Calibri"/>
                <w:b w:val="0"/>
                <w:color w:val="333333"/>
                <w:sz w:val="20"/>
              </w:rPr>
              <w:t>0 signals</w:t>
            </w:r>
          </w:p>
        </w:tc>
        <w:tc>
          <w:tcPr>
            <w:tcW w:type="dxa" w:w="1247"/>
            <w:shd w:fill="EBF0F5"/>
          </w:tcPr>
          <w:p>
            <w:pPr>
              <w:spacing w:before="40" w:after="40"/>
              <w:jc w:val="left"/>
            </w:pPr>
            <w:r>
              <w:rPr>
                <w:rFonts w:ascii="Calibri" w:hAnsi="Calibri"/>
                <w:b w:val="0"/>
                <w:color w:val="333333"/>
                <w:sz w:val="20"/>
              </w:rPr>
              <w:t>0</w:t>
            </w:r>
          </w:p>
        </w:tc>
        <w:tc>
          <w:tcPr>
            <w:tcW w:type="dxa" w:w="1134"/>
            <w:shd w:fill="EBF0F5"/>
          </w:tcPr>
          <w:p>
            <w:pPr>
              <w:spacing w:before="40" w:after="40"/>
              <w:jc w:val="left"/>
            </w:pPr>
            <w:r>
              <w:rPr>
                <w:rFonts w:ascii="Calibri" w:hAnsi="Calibri"/>
                <w:b w:val="0"/>
                <w:color w:val="333333"/>
                <w:sz w:val="20"/>
              </w:rPr>
              <w:t>LOW</w:t>
            </w:r>
          </w:p>
        </w:tc>
      </w:tr>
      <w:tr>
        <w:tc>
          <w:tcPr>
            <w:tcW w:type="dxa" w:w="2551"/>
          </w:tcPr>
          <w:p>
            <w:pPr>
              <w:spacing w:before="40" w:after="40"/>
              <w:jc w:val="left"/>
            </w:pPr>
            <w:r>
              <w:rPr>
                <w:rFonts w:ascii="Calibri" w:hAnsi="Calibri"/>
                <w:b/>
                <w:color w:val="333333"/>
                <w:sz w:val="20"/>
              </w:rPr>
              <w:t>Replacement Time-to-Fill</w:t>
            </w:r>
          </w:p>
        </w:tc>
        <w:tc>
          <w:tcPr>
            <w:tcW w:type="dxa" w:w="1417"/>
          </w:tcPr>
          <w:p>
            <w:pPr>
              <w:spacing w:before="40" w:after="40"/>
              <w:jc w:val="left"/>
            </w:pPr>
            <w:r>
              <w:rPr>
                <w:rFonts w:ascii="Calibri" w:hAnsi="Calibri"/>
                <w:b w:val="0"/>
                <w:color w:val="333333"/>
                <w:sz w:val="20"/>
              </w:rPr>
              <w:t>—</w:t>
            </w:r>
          </w:p>
        </w:tc>
        <w:tc>
          <w:tcPr>
            <w:tcW w:type="dxa" w:w="1587"/>
          </w:tcPr>
          <w:p>
            <w:pPr>
              <w:spacing w:before="40" w:after="40"/>
              <w:jc w:val="left"/>
            </w:pPr>
            <w:r>
              <w:rPr>
                <w:rFonts w:ascii="Calibri" w:hAnsi="Calibri"/>
                <w:b w:val="0"/>
                <w:color w:val="333333"/>
                <w:sz w:val="20"/>
              </w:rPr>
              <w:t>14 days</w:t>
            </w:r>
          </w:p>
        </w:tc>
        <w:tc>
          <w:tcPr>
            <w:tcW w:type="dxa" w:w="1247"/>
          </w:tcPr>
          <w:p>
            <w:pPr>
              <w:spacing w:before="40" w:after="40"/>
              <w:jc w:val="left"/>
            </w:pPr>
            <w:r>
              <w:rPr>
                <w:rFonts w:ascii="Calibri" w:hAnsi="Calibri"/>
                <w:b w:val="0"/>
                <w:color w:val="333333"/>
                <w:sz w:val="20"/>
              </w:rPr>
              <w:t>N/A</w:t>
            </w:r>
          </w:p>
        </w:tc>
        <w:tc>
          <w:tcPr>
            <w:tcW w:type="dxa" w:w="1134"/>
          </w:tcPr>
          <w:p>
            <w:pPr>
              <w:spacing w:before="40" w:after="40"/>
              <w:jc w:val="left"/>
            </w:pPr>
            <w:r>
              <w:rPr>
                <w:rFonts w:ascii="Calibri" w:hAnsi="Calibri"/>
                <w:b w:val="0"/>
                <w:color w:val="333333"/>
                <w:sz w:val="20"/>
              </w:rPr>
              <w:t>LOW</w:t>
            </w:r>
          </w:p>
        </w:tc>
      </w:tr>
    </w:tbl>
    <w:p>
      <w:pPr>
        <w:spacing w:after="80"/>
      </w:pPr>
    </w:p>
    <w:p>
      <w:pPr>
        <w:spacing w:before="360" w:after="160"/>
        <w:jc w:val="left"/>
      </w:pPr>
      <w:r>
        <w:rPr>
          <w:rFonts w:ascii="Calibri" w:hAnsi="Calibri"/>
          <w:b/>
          <w:color w:val="1F4E79"/>
          <w:sz w:val="32"/>
        </w:rPr>
        <w:t>Key Findings</w:t>
      </w:r>
    </w:p>
    <w:p>
      <w:r>
        <w:rPr>
          <w:b/>
        </w:rPr>
        <w:t xml:space="preserve">Finding 1: Unreplaced Exits Create Secondary Flight Risk. </w:t>
      </w:r>
      <w:r>
        <w:t>When a regrettable exit goes unreplaced, the workload burden on remaining peers triggers a measurable decline in wellbeing. In the worst case (E07625), wellbeing dropped 0.331 points and two additional voluntary attrition signals emerged within 60 days. Unreplaced exits are not isolated events — they are catalysts for cascading departures.</w:t>
      </w:r>
    </w:p>
    <w:p>
      <w:r>
        <w:rPr>
          <w:b/>
        </w:rPr>
        <w:t xml:space="preserve">Finding 2: Replacement Substantially Mitigates Wellbeing Damage. </w:t>
      </w:r>
      <w:r>
        <w:t>Both replaced cases (E05010 and E02850) showed positive wellbeing deltas of +0.178 and +0.432 respectively. Timely replacement restores workload balance and signals organizational commitment to the team, which stabilizes morale.</w:t>
      </w:r>
    </w:p>
    <w:p>
      <w:r>
        <w:rPr>
          <w:b/>
        </w:rPr>
        <w:t xml:space="preserve">Finding 3: Manager Effectiveness Declines Regardless of Replacement. </w:t>
      </w:r>
      <w:r>
        <w:t>Every case showed a negative manager effectiveness delta, ranging from -0.22 (E05010, replaced) to -1.102 (E07625, unreplaced). Even with replacement, onboarding, knowledge transfer gaps, and recruitment effort consume manager capacity. This is the most persistent and unavoidable cost of any regrettable exit.</w:t>
      </w:r>
    </w:p>
    <w:p>
      <w:pPr>
        <w:spacing w:before="360" w:after="160"/>
        <w:jc w:val="left"/>
      </w:pPr>
      <w:r>
        <w:rPr>
          <w:rFonts w:ascii="Calibri" w:hAnsi="Calibri"/>
          <w:b/>
          <w:color w:val="1F4E79"/>
          <w:sz w:val="26"/>
        </w:rPr>
        <w:t>Cross-Case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shd w:fill="1F4E79"/>
          </w:tcPr>
          <w:p>
            <w:pPr>
              <w:spacing w:before="40" w:after="40"/>
              <w:jc w:val="left"/>
            </w:pPr>
            <w:r>
              <w:rPr>
                <w:rFonts w:ascii="Calibri" w:hAnsi="Calibri"/>
                <w:b/>
                <w:color w:val="FFFFFF"/>
                <w:sz w:val="20"/>
              </w:rPr>
              <w:t>Case</w:t>
            </w:r>
          </w:p>
        </w:tc>
        <w:tc>
          <w:tcPr>
            <w:tcW w:type="dxa" w:w="1247"/>
            <w:shd w:fill="1F4E79"/>
          </w:tcPr>
          <w:p>
            <w:pPr>
              <w:spacing w:before="40" w:after="40"/>
              <w:jc w:val="left"/>
            </w:pPr>
            <w:r>
              <w:rPr>
                <w:rFonts w:ascii="Calibri" w:hAnsi="Calibri"/>
                <w:b/>
                <w:color w:val="FFFFFF"/>
                <w:sz w:val="20"/>
              </w:rPr>
              <w:t>Replaced?</w:t>
            </w:r>
          </w:p>
        </w:tc>
        <w:tc>
          <w:tcPr>
            <w:tcW w:type="dxa" w:w="1587"/>
            <w:shd w:fill="1F4E79"/>
          </w:tcPr>
          <w:p>
            <w:pPr>
              <w:spacing w:before="40" w:after="40"/>
              <w:jc w:val="left"/>
            </w:pPr>
            <w:r>
              <w:rPr>
                <w:rFonts w:ascii="Calibri" w:hAnsi="Calibri"/>
                <w:b/>
                <w:color w:val="FFFFFF"/>
                <w:sz w:val="20"/>
              </w:rPr>
              <w:t>Wellbeing Delta</w:t>
            </w:r>
          </w:p>
        </w:tc>
        <w:tc>
          <w:tcPr>
            <w:tcW w:type="dxa" w:w="1587"/>
            <w:shd w:fill="1F4E79"/>
          </w:tcPr>
          <w:p>
            <w:pPr>
              <w:spacing w:before="40" w:after="40"/>
              <w:jc w:val="left"/>
            </w:pPr>
            <w:r>
              <w:rPr>
                <w:rFonts w:ascii="Calibri" w:hAnsi="Calibri"/>
                <w:b/>
                <w:color w:val="FFFFFF"/>
                <w:sz w:val="20"/>
              </w:rPr>
              <w:t>Manager Eff. Delta</w:t>
            </w:r>
          </w:p>
        </w:tc>
        <w:tc>
          <w:tcPr>
            <w:tcW w:type="dxa" w:w="2268"/>
            <w:shd w:fill="1F4E79"/>
          </w:tcPr>
          <w:p>
            <w:pPr>
              <w:spacing w:before="40" w:after="40"/>
              <w:jc w:val="left"/>
            </w:pPr>
            <w:r>
              <w:rPr>
                <w:rFonts w:ascii="Calibri" w:hAnsi="Calibri"/>
                <w:b/>
                <w:color w:val="FFFFFF"/>
                <w:sz w:val="20"/>
              </w:rPr>
              <w:t>Attrition Risk</w:t>
            </w:r>
          </w:p>
        </w:tc>
      </w:tr>
      <w:tr>
        <w:tc>
          <w:tcPr>
            <w:tcW w:type="dxa" w:w="1247"/>
          </w:tcPr>
          <w:p>
            <w:pPr>
              <w:spacing w:before="40" w:after="40"/>
              <w:jc w:val="left"/>
            </w:pPr>
            <w:r>
              <w:rPr>
                <w:rFonts w:ascii="Calibri" w:hAnsi="Calibri"/>
                <w:b/>
                <w:color w:val="333333"/>
                <w:sz w:val="20"/>
              </w:rPr>
              <w:t>E07625</w:t>
            </w:r>
          </w:p>
        </w:tc>
        <w:tc>
          <w:tcPr>
            <w:tcW w:type="dxa" w:w="1247"/>
          </w:tcPr>
          <w:p>
            <w:pPr>
              <w:spacing w:before="40" w:after="40"/>
              <w:jc w:val="left"/>
            </w:pPr>
            <w:r>
              <w:rPr>
                <w:rFonts w:ascii="Calibri" w:hAnsi="Calibri"/>
                <w:b w:val="0"/>
                <w:color w:val="333333"/>
                <w:sz w:val="20"/>
              </w:rPr>
              <w:t>No</w:t>
            </w:r>
          </w:p>
        </w:tc>
        <w:tc>
          <w:tcPr>
            <w:tcW w:type="dxa" w:w="1587"/>
          </w:tcPr>
          <w:p>
            <w:pPr>
              <w:spacing w:before="40" w:after="40"/>
              <w:jc w:val="left"/>
            </w:pPr>
            <w:r>
              <w:rPr>
                <w:rFonts w:ascii="Calibri" w:hAnsi="Calibri"/>
                <w:b w:val="0"/>
                <w:color w:val="333333"/>
                <w:sz w:val="20"/>
              </w:rPr>
              <w:t>-0.331</w:t>
            </w:r>
          </w:p>
        </w:tc>
        <w:tc>
          <w:tcPr>
            <w:tcW w:type="dxa" w:w="1587"/>
          </w:tcPr>
          <w:p>
            <w:pPr>
              <w:spacing w:before="40" w:after="40"/>
              <w:jc w:val="left"/>
            </w:pPr>
            <w:r>
              <w:rPr>
                <w:rFonts w:ascii="Calibri" w:hAnsi="Calibri"/>
                <w:b w:val="0"/>
                <w:color w:val="333333"/>
                <w:sz w:val="20"/>
              </w:rPr>
              <w:t>-1.102</w:t>
            </w:r>
          </w:p>
        </w:tc>
        <w:tc>
          <w:tcPr>
            <w:tcW w:type="dxa" w:w="2268"/>
          </w:tcPr>
          <w:p>
            <w:pPr>
              <w:spacing w:before="40" w:after="40"/>
              <w:jc w:val="left"/>
            </w:pPr>
            <w:r>
              <w:rPr>
                <w:rFonts w:ascii="Calibri" w:hAnsi="Calibri"/>
                <w:b w:val="0"/>
                <w:color w:val="333333"/>
                <w:sz w:val="20"/>
              </w:rPr>
              <w:t>CRITICAL (2 signals)</w:t>
            </w:r>
          </w:p>
        </w:tc>
      </w:tr>
      <w:tr>
        <w:tc>
          <w:tcPr>
            <w:tcW w:type="dxa" w:w="1247"/>
            <w:shd w:fill="EBF0F5"/>
          </w:tcPr>
          <w:p>
            <w:pPr>
              <w:spacing w:before="40" w:after="40"/>
              <w:jc w:val="left"/>
            </w:pPr>
            <w:r>
              <w:rPr>
                <w:rFonts w:ascii="Calibri" w:hAnsi="Calibri"/>
                <w:b/>
                <w:color w:val="333333"/>
                <w:sz w:val="20"/>
              </w:rPr>
              <w:t>E11737</w:t>
            </w:r>
          </w:p>
        </w:tc>
        <w:tc>
          <w:tcPr>
            <w:tcW w:type="dxa" w:w="1247"/>
            <w:shd w:fill="EBF0F5"/>
          </w:tcPr>
          <w:p>
            <w:pPr>
              <w:spacing w:before="40" w:after="40"/>
              <w:jc w:val="left"/>
            </w:pPr>
            <w:r>
              <w:rPr>
                <w:rFonts w:ascii="Calibri" w:hAnsi="Calibri"/>
                <w:b w:val="0"/>
                <w:color w:val="333333"/>
                <w:sz w:val="20"/>
              </w:rPr>
              <w:t>No</w:t>
            </w:r>
          </w:p>
        </w:tc>
        <w:tc>
          <w:tcPr>
            <w:tcW w:type="dxa" w:w="1587"/>
            <w:shd w:fill="EBF0F5"/>
          </w:tcPr>
          <w:p>
            <w:pPr>
              <w:spacing w:before="40" w:after="40"/>
              <w:jc w:val="left"/>
            </w:pPr>
            <w:r>
              <w:rPr>
                <w:rFonts w:ascii="Calibri" w:hAnsi="Calibri"/>
                <w:b w:val="0"/>
                <w:color w:val="333333"/>
                <w:sz w:val="20"/>
              </w:rPr>
              <w:t>+0.04</w:t>
            </w:r>
          </w:p>
        </w:tc>
        <w:tc>
          <w:tcPr>
            <w:tcW w:type="dxa" w:w="1587"/>
            <w:shd w:fill="EBF0F5"/>
          </w:tcPr>
          <w:p>
            <w:pPr>
              <w:spacing w:before="40" w:after="40"/>
              <w:jc w:val="left"/>
            </w:pPr>
            <w:r>
              <w:rPr>
                <w:rFonts w:ascii="Calibri" w:hAnsi="Calibri"/>
                <w:b w:val="0"/>
                <w:color w:val="333333"/>
                <w:sz w:val="20"/>
              </w:rPr>
              <w:t>-0.34</w:t>
            </w:r>
          </w:p>
        </w:tc>
        <w:tc>
          <w:tcPr>
            <w:tcW w:type="dxa" w:w="2268"/>
            <w:shd w:fill="EBF0F5"/>
          </w:tcPr>
          <w:p>
            <w:pPr>
              <w:spacing w:before="40" w:after="40"/>
              <w:jc w:val="left"/>
            </w:pPr>
            <w:r>
              <w:rPr>
                <w:rFonts w:ascii="Calibri" w:hAnsi="Calibri"/>
                <w:b w:val="0"/>
                <w:color w:val="333333"/>
                <w:sz w:val="20"/>
              </w:rPr>
              <w:t>LOW</w:t>
            </w:r>
          </w:p>
        </w:tc>
      </w:tr>
      <w:tr>
        <w:tc>
          <w:tcPr>
            <w:tcW w:type="dxa" w:w="1247"/>
          </w:tcPr>
          <w:p>
            <w:pPr>
              <w:spacing w:before="40" w:after="40"/>
              <w:jc w:val="left"/>
            </w:pPr>
            <w:r>
              <w:rPr>
                <w:rFonts w:ascii="Calibri" w:hAnsi="Calibri"/>
                <w:b/>
                <w:color w:val="333333"/>
                <w:sz w:val="20"/>
              </w:rPr>
              <w:t>E05010</w:t>
            </w:r>
          </w:p>
        </w:tc>
        <w:tc>
          <w:tcPr>
            <w:tcW w:type="dxa" w:w="1247"/>
          </w:tcPr>
          <w:p>
            <w:pPr>
              <w:spacing w:before="40" w:after="40"/>
              <w:jc w:val="left"/>
            </w:pPr>
            <w:r>
              <w:rPr>
                <w:rFonts w:ascii="Calibri" w:hAnsi="Calibri"/>
                <w:b w:val="0"/>
                <w:color w:val="333333"/>
                <w:sz w:val="20"/>
              </w:rPr>
              <w:t>Yes (21d)</w:t>
            </w:r>
          </w:p>
        </w:tc>
        <w:tc>
          <w:tcPr>
            <w:tcW w:type="dxa" w:w="1587"/>
          </w:tcPr>
          <w:p>
            <w:pPr>
              <w:spacing w:before="40" w:after="40"/>
              <w:jc w:val="left"/>
            </w:pPr>
            <w:r>
              <w:rPr>
                <w:rFonts w:ascii="Calibri" w:hAnsi="Calibri"/>
                <w:b w:val="0"/>
                <w:color w:val="333333"/>
                <w:sz w:val="20"/>
              </w:rPr>
              <w:t>+0.178</w:t>
            </w:r>
          </w:p>
        </w:tc>
        <w:tc>
          <w:tcPr>
            <w:tcW w:type="dxa" w:w="1587"/>
          </w:tcPr>
          <w:p>
            <w:pPr>
              <w:spacing w:before="40" w:after="40"/>
              <w:jc w:val="left"/>
            </w:pPr>
            <w:r>
              <w:rPr>
                <w:rFonts w:ascii="Calibri" w:hAnsi="Calibri"/>
                <w:b w:val="0"/>
                <w:color w:val="333333"/>
                <w:sz w:val="20"/>
              </w:rPr>
              <w:t>-0.22</w:t>
            </w:r>
          </w:p>
        </w:tc>
        <w:tc>
          <w:tcPr>
            <w:tcW w:type="dxa" w:w="2268"/>
          </w:tcPr>
          <w:p>
            <w:pPr>
              <w:spacing w:before="40" w:after="40"/>
              <w:jc w:val="left"/>
            </w:pPr>
            <w:r>
              <w:rPr>
                <w:rFonts w:ascii="Calibri" w:hAnsi="Calibri"/>
                <w:b w:val="0"/>
                <w:color w:val="333333"/>
                <w:sz w:val="20"/>
              </w:rPr>
              <w:t>LOW</w:t>
            </w:r>
          </w:p>
        </w:tc>
      </w:tr>
      <w:tr>
        <w:tc>
          <w:tcPr>
            <w:tcW w:type="dxa" w:w="1247"/>
            <w:shd w:fill="EBF0F5"/>
          </w:tcPr>
          <w:p>
            <w:pPr>
              <w:spacing w:before="40" w:after="40"/>
              <w:jc w:val="left"/>
            </w:pPr>
            <w:r>
              <w:rPr>
                <w:rFonts w:ascii="Calibri" w:hAnsi="Calibri"/>
                <w:b/>
                <w:color w:val="333333"/>
                <w:sz w:val="20"/>
              </w:rPr>
              <w:t>E02850</w:t>
            </w:r>
          </w:p>
        </w:tc>
        <w:tc>
          <w:tcPr>
            <w:tcW w:type="dxa" w:w="1247"/>
            <w:shd w:fill="EBF0F5"/>
          </w:tcPr>
          <w:p>
            <w:pPr>
              <w:spacing w:before="40" w:after="40"/>
              <w:jc w:val="left"/>
            </w:pPr>
            <w:r>
              <w:rPr>
                <w:rFonts w:ascii="Calibri" w:hAnsi="Calibri"/>
                <w:b w:val="0"/>
                <w:color w:val="333333"/>
                <w:sz w:val="20"/>
              </w:rPr>
              <w:t>Yes (14d)</w:t>
            </w:r>
          </w:p>
        </w:tc>
        <w:tc>
          <w:tcPr>
            <w:tcW w:type="dxa" w:w="1587"/>
            <w:shd w:fill="EBF0F5"/>
          </w:tcPr>
          <w:p>
            <w:pPr>
              <w:spacing w:before="40" w:after="40"/>
              <w:jc w:val="left"/>
            </w:pPr>
            <w:r>
              <w:rPr>
                <w:rFonts w:ascii="Calibri" w:hAnsi="Calibri"/>
                <w:b w:val="0"/>
                <w:color w:val="333333"/>
                <w:sz w:val="20"/>
              </w:rPr>
              <w:t>+0.432</w:t>
            </w:r>
          </w:p>
        </w:tc>
        <w:tc>
          <w:tcPr>
            <w:tcW w:type="dxa" w:w="1587"/>
            <w:shd w:fill="EBF0F5"/>
          </w:tcPr>
          <w:p>
            <w:pPr>
              <w:spacing w:before="40" w:after="40"/>
              <w:jc w:val="left"/>
            </w:pPr>
            <w:r>
              <w:rPr>
                <w:rFonts w:ascii="Calibri" w:hAnsi="Calibri"/>
                <w:b w:val="0"/>
                <w:color w:val="333333"/>
                <w:sz w:val="20"/>
              </w:rPr>
              <w:t>-0.41</w:t>
            </w:r>
          </w:p>
        </w:tc>
        <w:tc>
          <w:tcPr>
            <w:tcW w:type="dxa" w:w="2268"/>
            <w:shd w:fill="EBF0F5"/>
          </w:tcPr>
          <w:p>
            <w:pPr>
              <w:spacing w:before="40" w:after="40"/>
              <w:jc w:val="left"/>
            </w:pPr>
            <w:r>
              <w:rPr>
                <w:rFonts w:ascii="Calibri" w:hAnsi="Calibri"/>
                <w:b w:val="0"/>
                <w:color w:val="333333"/>
                <w:sz w:val="20"/>
              </w:rPr>
              <w:t>LOW</w:t>
            </w:r>
          </w:p>
        </w:tc>
      </w:tr>
    </w:tbl>
    <w:p>
      <w:pPr>
        <w:spacing w:after="160"/>
      </w:pPr>
    </w:p>
    <w:p>
      <w:pPr>
        <w:spacing w:before="360" w:after="160"/>
        <w:jc w:val="left"/>
      </w:pPr>
      <w:r>
        <w:rPr>
          <w:rFonts w:ascii="Calibri" w:hAnsi="Calibri"/>
          <w:b/>
          <w:color w:val="1F4E79"/>
          <w:sz w:val="32"/>
        </w:rPr>
        <w:t>Recommended Solutions</w:t>
      </w:r>
    </w:p>
    <w:p>
      <w:pPr>
        <w:spacing w:after="200"/>
      </w:pPr>
      <w:r>
        <w:rPr>
          <w:b/>
        </w:rPr>
        <w:t xml:space="preserve">Solution 1: Emergency Replacement Protocol for L4+ Regrettable Exits. </w:t>
      </w:r>
      <w:r>
        <w:t>Institute a standing protocol that activates within 48 hours of any L4+ regrettable exit notification. The protocol triggers an expedited requisition approval, pre-cleared budget, and a dedicated recruiter assignment. Target: job posting live within 5 business days, first-round interviews within 10 business days. This directly addresses the E07625 scenario where delay amplified cascading risk.</w:t>
      </w:r>
    </w:p>
    <w:p>
      <w:pPr>
        <w:spacing w:after="200"/>
      </w:pPr>
      <w:r>
        <w:rPr>
          <w:b/>
        </w:rPr>
        <w:t xml:space="preserve">Solution 2: Interim Workload Redistribution Plan. </w:t>
      </w:r>
      <w:r>
        <w:t>For the period between exit and replacement onboarding (typically 4-8 weeks), implement a structured workload redistribution that caps individual burden increases at 15%. Temporarily pause non-critical projects, bring in contingent staff if available, and assign a rotating 'coverage lead' to prevent any single peer from absorbing the full gap.</w:t>
      </w:r>
    </w:p>
    <w:p>
      <w:pPr>
        <w:spacing w:after="200"/>
      </w:pPr>
      <w:r>
        <w:rPr>
          <w:b/>
        </w:rPr>
        <w:t xml:space="preserve">Solution 3: Post-Exit 30-Day Peer Wellbeing Pulse Check. </w:t>
      </w:r>
      <w:r>
        <w:t>Conduct a lightweight, anonymous wellbeing survey of all remaining team members at the 30-day mark following any regrettable exit. The survey measures workload perception, morale, and intent-to-stay. Results with a wellbeing delta worse than -0.15 trigger an escalation to HR Business Partner for intervention. This provides an early warning system for the secondary flight risk observed in Case E07625.</w:t>
      </w:r>
    </w:p>
    <w:p>
      <w:pPr>
        <w:spacing w:after="200"/>
      </w:pPr>
      <w:r>
        <w:rPr>
          <w:b/>
        </w:rPr>
        <w:t xml:space="preserve">Solution 4: Succession Pipeline Pre-Identification. </w:t>
      </w:r>
      <w:r>
        <w:t>For all L3+ roles, maintain a living succession shortlist with at least two internal candidates and two pre-vetted external prospects. Review quarterly with managers. This reduces time-to-fill from a median of 45 days to a target of under 21 days, as demonstrated by Cases E05010 and E02850 where faster replacement correlated with stronger wellbeing recovery.</w:t>
      </w:r>
    </w:p>
    <w:p>
      <w:pPr>
        <w:spacing w:after="80"/>
      </w:pPr>
    </w:p>
    <w:p>
      <w:r>
        <w:rPr>
          <w:rFonts w:ascii="Calibri" w:hAnsi="Calibri"/>
          <w:color w:val="1F4E79"/>
          <w:sz w:val="12"/>
        </w:rPr>
        <w:t>────────────────────────────────────────────────────────────────────────</w:t>
      </w:r>
    </w:p>
    <w:p>
      <w:pPr>
        <w:jc w:val="left"/>
      </w:pPr>
      <w:r>
        <w:rPr>
          <w:rFonts w:ascii="Calibri" w:hAnsi="Calibri"/>
          <w:i/>
          <w:color w:val="999999"/>
          <w:sz w:val="18"/>
        </w:rPr>
        <w:t>Data sourced from internal HRIS, engagement survey platform, and manager self-assessments. Wellbeing scores on a 1-5 standardized scale. Manager effectiveness measured via composite index of team output, escalation rate, and direct-report feedback. Analysis period covers 30 days pre-exit to 60 days post-exit for each case.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