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52"/>
        </w:rPr>
        <w:t>Further Investigation Answers</w:t>
      </w:r>
    </w:p>
    <w:p>
      <w:pPr>
        <w:spacing w:after="720"/>
        <w:jc w:val="center"/>
      </w:pPr>
      <w:r>
        <w:rPr>
          <w:rFonts w:ascii="Calibri" w:hAnsi="Calibri"/>
          <w:color w:val="555555"/>
          <w:sz w:val="32"/>
        </w:rPr>
        <w:t>10 Key Workforce Questions — Data-Backed Responses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Date: </w:t>
      </w:r>
      <w:r>
        <w:rPr>
          <w:rFonts w:ascii="Calibri" w:hAnsi="Calibri"/>
          <w:sz w:val="22"/>
        </w:rPr>
        <w:t>August 2026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Confidentiality: </w:t>
      </w:r>
      <w:r>
        <w:rPr>
          <w:rFonts w:ascii="Calibri" w:hAnsi="Calibri"/>
          <w:sz w:val="22"/>
        </w:rPr>
        <w:t>Internal</w:t>
      </w:r>
    </w:p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Q1: Do strong performers leave without promotion?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Performance Level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Promoted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Not Promoted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Exit Rate</w:t>
            </w:r>
          </w:p>
        </w:tc>
      </w:tr>
      <w:tr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Exceeds Expectations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Yes (n=847)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No (n=1,420)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4.2%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Meets Expectations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Yes (n=1,203)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No (n=2,895)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6.1%</w:t>
            </w:r>
          </w:p>
        </w:tc>
      </w:tr>
      <w:tr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Below Expectations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Yes (n=156)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No (n=1,061)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12.8%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Overall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n=2,206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n=5,376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6.7%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Employees rated Below Expectations who received a promotion still exit at 12.8% — the highest rate across all groups, suggesting that overdue promotions fail to retain underperformers.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Q2: Do certain origins have fewer career paths?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Origin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Career Dev Score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Internal Mobility Rate</w:t>
            </w:r>
          </w:p>
        </w:tc>
        <w:tc>
          <w:tcPr>
            <w:tcW w:type="dxa" w:w="23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Avg Roles Held</w:t>
            </w:r>
          </w:p>
        </w:tc>
      </w:tr>
      <w:tr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External Hire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2.841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18.3%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Internal Transfer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3.112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24.7%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Campus Graduate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2.956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21.1%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Origin Country Referral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3.378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31.2%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 w:val="0"/>
                <w:sz w:val="20"/>
              </w:rPr>
              <w:t>2.9</w:t>
            </w:r>
          </w:p>
        </w:tc>
      </w:tr>
      <w:tr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Rehire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2.703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15.8%</w:t>
            </w:r>
          </w:p>
        </w:tc>
        <w:tc>
          <w:tcPr>
            <w:tcW w:type="dxa" w:w="2340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Origin Country Referral hires report the highest career development score (3.378) and mobility rate (31.2%), indicating they have the most — not the fewest — career paths.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Q3: Does a compa-ratio below 0.95 drive more pull exits?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Compa-Ratio Group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Pull Exits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Push Exits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Total Exit Rate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&lt; 0.85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1,842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4.6%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2.1%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6.7%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0.85-0.95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3,271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3.9%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2.0%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5.9%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0.95-1.05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2,108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2.8%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2.3%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5.1%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&gt; 1.05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1,905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2.1%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2.4%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4.5%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Overall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9,126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3.3%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2.2%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5.5%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Employees with compa-ratio below 0.95 show elevated pull-exit rates (3.9% vs 2.8% for those at or above market), confirming that under-market pay makes external offers more attractive.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Q4: Are HiPos more likely to be pulled externally?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HiPo Status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Pull Exits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Push Exits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Retention Rate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HiPo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1,134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8.7%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1.2%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90.1%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Non-HiPo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7,992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2.8%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2.3%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94.9%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Overall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9,126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3.3%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2.2%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94.5%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HiPos are pulled externally at 8.7% — over three times the non-HiPo rate of 2.8% — confirming that high-potential talent attracts disproportionate external recruiting attention.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Q5: Does low managerial confidence predict regrettable exits?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Confidence Level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Regrettable Exit Rate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Odds Ratio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p-value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Low (1-2)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1,873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5.8%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1.12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0.341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Medium (3)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3,402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5.3%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1.00 (ref)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High (4-5)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3,851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5.1%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0.94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0.287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Managerial confidence does not significantly predict regrettable exits (p &gt; 0.05 across all levels); the observed 0.7pp difference between low and high confidence groups is noise, not signal.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Q6: Do unfilled roles hurt employee wellbeing?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Unfilled-Role Exposure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Wellbeing Score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Engagement Score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Burnout Rate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No unfilled roles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5,214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12.4%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1-3 months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2,631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7.0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14.1%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4-6 months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873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15.8%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&gt; 6 months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408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17.3%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The wellbeing drop from zero to prolonged unfilled-role exposure is only 0.5 points (7.2 to 6.7) — a minimal effect that suggests other factors drive wellbeing more than vacancy duration.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Q7: Do short-tenure employees cite work-life balance as their exit reason?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Tenure Group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Work-Life Balance (exit reason %)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Avg Tenure (months)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Top Exit Reason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&lt; 1 year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1,892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8.3%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Career Advancement (34.2%)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1-3 years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2,431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5.7%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23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Career Advancement (28.9%)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3-7 years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2,104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7.1%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58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Career Advancement (22.1%)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7-15 years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1,659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9.8%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128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Work-Life Balance (9.8%)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&gt; 15 years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1,040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14.5%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146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Work-Life Balance (14.5%)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Work-life balance is the top exit reason only among long-tenure employees (avg 146 months), not short-tenure; early exits are driven by career advancement concerns, not balance.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Q8: Which department and level has the highest regrettable exit rate?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Department</w:t>
            </w:r>
          </w:p>
        </w:tc>
        <w:tc>
          <w:tcPr>
            <w:tcW w:type="dxa" w:w="15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L1 Regret.</w:t>
            </w:r>
          </w:p>
        </w:tc>
        <w:tc>
          <w:tcPr>
            <w:tcW w:type="dxa" w:w="15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L2 Regret.</w:t>
            </w:r>
          </w:p>
        </w:tc>
        <w:tc>
          <w:tcPr>
            <w:tcW w:type="dxa" w:w="15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L3 Regret.</w:t>
            </w:r>
          </w:p>
        </w:tc>
        <w:tc>
          <w:tcPr>
            <w:tcW w:type="dxa" w:w="1560"/>
            <w:shd w:fill="1F4E79"/>
          </w:tcPr>
          <w:p>
            <w:r>
              <w:t>L4 Regret.</w:t>
            </w:r>
          </w:p>
        </w:tc>
        <w:tc>
          <w:tcPr>
            <w:tcW w:type="dxa" w:w="15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Dept Avg</w:t>
            </w:r>
          </w:p>
        </w:tc>
      </w:tr>
      <w:tr>
        <w:tc>
          <w:tcPr>
            <w:tcW w:type="dxa" w:w="1560"/>
            <w:shd w:fill="F2F6FA"/>
          </w:tcPr>
          <w:p>
            <w:r>
              <w:t>Retail Banking</w:t>
            </w:r>
          </w:p>
        </w:tc>
        <w:tc>
          <w:tcPr>
            <w:tcW w:type="dxa" w:w="1560"/>
            <w:shd w:fill="F2F6FA"/>
          </w:tcPr>
          <w:p>
            <w:r>
              <w:t>0.9%</w:t>
            </w:r>
          </w:p>
        </w:tc>
        <w:tc>
          <w:tcPr>
            <w:tcW w:type="dxa" w:w="1560"/>
            <w:shd w:fill="F2F6FA"/>
          </w:tcPr>
          <w:p>
            <w:r>
              <w:t>0.3%</w:t>
            </w:r>
          </w:p>
        </w:tc>
        <w:tc>
          <w:tcPr>
            <w:tcW w:type="dxa" w:w="1560"/>
            <w:shd w:fill="F2F6FA"/>
          </w:tcPr>
          <w:p>
            <w:r>
              <w:t>0.7%</w:t>
            </w:r>
          </w:p>
        </w:tc>
        <w:tc>
          <w:tcPr>
            <w:tcW w:type="dxa" w:w="1560"/>
            <w:shd w:fill="F2F6FA"/>
          </w:tcPr>
          <w:p>
            <w:r>
              <w:t>1.5%</w:t>
            </w:r>
          </w:p>
        </w:tc>
        <w:tc>
          <w:tcPr>
            <w:tcW w:type="dxa" w:w="1560"/>
            <w:shd w:fill="F2F6FA"/>
          </w:tcPr>
          <w:p>
            <w:r>
              <w:t>0.7%</w:t>
            </w:r>
          </w:p>
        </w:tc>
      </w:tr>
      <w:tr>
        <w:tc>
          <w:tcPr>
            <w:tcW w:type="dxa" w:w="1560"/>
          </w:tcPr>
          <w:p>
            <w:r>
              <w:t>Wealth Management</w:t>
            </w:r>
          </w:p>
        </w:tc>
        <w:tc>
          <w:tcPr>
            <w:tcW w:type="dxa" w:w="1560"/>
          </w:tcPr>
          <w:p>
            <w:r>
              <w:t>1.2%</w:t>
            </w:r>
          </w:p>
        </w:tc>
        <w:tc>
          <w:tcPr>
            <w:tcW w:type="dxa" w:w="1560"/>
          </w:tcPr>
          <w:p>
            <w:r>
              <w:t>0.0%</w:t>
            </w:r>
          </w:p>
        </w:tc>
        <w:tc>
          <w:tcPr>
            <w:tcW w:type="dxa" w:w="1560"/>
          </w:tcPr>
          <w:p>
            <w:r>
              <w:t>2.8%</w:t>
            </w:r>
          </w:p>
        </w:tc>
        <w:tc>
          <w:tcPr>
            <w:tcW w:type="dxa" w:w="1560"/>
          </w:tcPr>
          <w:p>
            <w:r>
              <w:t>0.0%</w:t>
            </w:r>
          </w:p>
        </w:tc>
        <w:tc>
          <w:tcPr>
            <w:tcW w:type="dxa" w:w="1560"/>
          </w:tcPr>
          <w:p>
            <w:r>
              <w:t>1.0%</w:t>
            </w:r>
          </w:p>
        </w:tc>
      </w:tr>
      <w:tr>
        <w:tc>
          <w:tcPr>
            <w:tcW w:type="dxa" w:w="1560"/>
            <w:shd w:fill="F2F6FA"/>
          </w:tcPr>
          <w:p>
            <w:r>
              <w:t>Insurance</w:t>
            </w:r>
          </w:p>
        </w:tc>
        <w:tc>
          <w:tcPr>
            <w:tcW w:type="dxa" w:w="1560"/>
            <w:shd w:fill="F2F6FA"/>
          </w:tcPr>
          <w:p>
            <w:r>
              <w:t>1.4%</w:t>
            </w:r>
          </w:p>
        </w:tc>
        <w:tc>
          <w:tcPr>
            <w:tcW w:type="dxa" w:w="1560"/>
            <w:shd w:fill="F2F6FA"/>
          </w:tcPr>
          <w:p>
            <w:r>
              <w:t>1.1%</w:t>
            </w:r>
          </w:p>
        </w:tc>
        <w:tc>
          <w:tcPr>
            <w:tcW w:type="dxa" w:w="1560"/>
            <w:shd w:fill="F2F6FA"/>
          </w:tcPr>
          <w:p>
            <w:r>
              <w:t>1.7%</w:t>
            </w:r>
          </w:p>
        </w:tc>
        <w:tc>
          <w:tcPr>
            <w:tcW w:type="dxa" w:w="1560"/>
            <w:shd w:fill="F2F6FA"/>
          </w:tcPr>
          <w:p>
            <w:r>
              <w:t>2.9%</w:t>
            </w:r>
          </w:p>
        </w:tc>
        <w:tc>
          <w:tcPr>
            <w:tcW w:type="dxa" w:w="1560"/>
            <w:shd w:fill="F2F6FA"/>
          </w:tcPr>
          <w:p>
            <w:r>
              <w:t>1.4%</w:t>
            </w:r>
          </w:p>
        </w:tc>
      </w:tr>
      <w:tr>
        <w:tc>
          <w:tcPr>
            <w:tcW w:type="dxa" w:w="1560"/>
          </w:tcPr>
          <w:p>
            <w:r>
              <w:t>Technology</w:t>
            </w:r>
          </w:p>
        </w:tc>
        <w:tc>
          <w:tcPr>
            <w:tcW w:type="dxa" w:w="1560"/>
          </w:tcPr>
          <w:p>
            <w:r>
              <w:t>1.0%</w:t>
            </w:r>
          </w:p>
        </w:tc>
        <w:tc>
          <w:tcPr>
            <w:tcW w:type="dxa" w:w="1560"/>
          </w:tcPr>
          <w:p>
            <w:r>
              <w:t>1.1%</w:t>
            </w:r>
          </w:p>
        </w:tc>
        <w:tc>
          <w:tcPr>
            <w:tcW w:type="dxa" w:w="1560"/>
          </w:tcPr>
          <w:p>
            <w:r>
              <w:t>1.4%</w:t>
            </w:r>
          </w:p>
        </w:tc>
        <w:tc>
          <w:tcPr>
            <w:tcW w:type="dxa" w:w="1560"/>
          </w:tcPr>
          <w:p>
            <w:r>
              <w:t>0.0%</w:t>
            </w:r>
          </w:p>
        </w:tc>
        <w:tc>
          <w:tcPr>
            <w:tcW w:type="dxa" w:w="1560"/>
          </w:tcPr>
          <w:p>
            <w:r>
              <w:t>1.0%</w:t>
            </w:r>
          </w:p>
        </w:tc>
      </w:tr>
      <w:tr>
        <w:tc>
          <w:tcPr>
            <w:tcW w:type="dxa" w:w="1560"/>
            <w:shd w:fill="F2F6FA"/>
          </w:tcPr>
          <w:p>
            <w:r>
              <w:t>Risk &amp; Compliance</w:t>
            </w:r>
          </w:p>
        </w:tc>
        <w:tc>
          <w:tcPr>
            <w:tcW w:type="dxa" w:w="1560"/>
            <w:shd w:fill="F2F6FA"/>
          </w:tcPr>
          <w:p>
            <w:r>
              <w:t>1.5%</w:t>
            </w:r>
          </w:p>
        </w:tc>
        <w:tc>
          <w:tcPr>
            <w:tcW w:type="dxa" w:w="1560"/>
            <w:shd w:fill="F2F6FA"/>
          </w:tcPr>
          <w:p>
            <w:r>
              <w:t>1.0%</w:t>
            </w:r>
          </w:p>
        </w:tc>
        <w:tc>
          <w:tcPr>
            <w:tcW w:type="dxa" w:w="1560"/>
            <w:shd w:fill="F2F6FA"/>
          </w:tcPr>
          <w:p>
            <w:r>
              <w:t>3.2%</w:t>
            </w:r>
          </w:p>
        </w:tc>
        <w:tc>
          <w:tcPr>
            <w:tcW w:type="dxa" w:w="1560"/>
            <w:shd w:fill="F2F6FA"/>
          </w:tcPr>
          <w:p>
            <w:r>
              <w:t>5.6%</w:t>
            </w:r>
          </w:p>
        </w:tc>
        <w:tc>
          <w:tcPr>
            <w:tcW w:type="dxa" w:w="1560"/>
            <w:shd w:fill="F2F6FA"/>
          </w:tcPr>
          <w:p>
            <w:r>
              <w:t>1.6%</w:t>
            </w:r>
          </w:p>
        </w:tc>
      </w:tr>
      <w:tr>
        <w:tc>
          <w:tcPr>
            <w:tcW w:type="dxa" w:w="1560"/>
          </w:tcPr>
          <w:p>
            <w:r>
              <w:t>Corporate Operations</w:t>
            </w:r>
          </w:p>
        </w:tc>
        <w:tc>
          <w:tcPr>
            <w:tcW w:type="dxa" w:w="1560"/>
          </w:tcPr>
          <w:p>
            <w:r>
              <w:t>1.3%</w:t>
            </w:r>
          </w:p>
        </w:tc>
        <w:tc>
          <w:tcPr>
            <w:tcW w:type="dxa" w:w="1560"/>
          </w:tcPr>
          <w:p>
            <w:r>
              <w:t>1.6%</w:t>
            </w:r>
          </w:p>
        </w:tc>
        <w:tc>
          <w:tcPr>
            <w:tcW w:type="dxa" w:w="1560"/>
          </w:tcPr>
          <w:p>
            <w:r>
              <w:t>4.3%</w:t>
            </w:r>
          </w:p>
        </w:tc>
        <w:tc>
          <w:tcPr>
            <w:tcW w:type="dxa" w:w="1560"/>
          </w:tcPr>
          <w:p>
            <w:r>
              <w:t>0.0%</w:t>
            </w:r>
          </w:p>
        </w:tc>
        <w:tc>
          <w:tcPr>
            <w:tcW w:type="dxa" w:w="1560"/>
          </w:tcPr>
          <w:p>
            <w:r>
              <w:t>1.7%</w:t>
            </w:r>
          </w:p>
        </w:tc>
      </w:tr>
      <w:tr>
        <w:tc>
          <w:tcPr>
            <w:tcW w:type="dxa" w:w="1560"/>
            <w:shd w:fill="F2F6FA"/>
          </w:tcPr>
          <w:p>
            <w:r>
              <w:t>Executive Leadership</w:t>
            </w:r>
          </w:p>
        </w:tc>
        <w:tc>
          <w:tcPr>
            <w:tcW w:type="dxa" w:w="1560"/>
            <w:shd w:fill="F2F6FA"/>
          </w:tcPr>
          <w:p>
            <w:r>
              <w:t>0.8%</w:t>
            </w:r>
          </w:p>
        </w:tc>
        <w:tc>
          <w:tcPr>
            <w:tcW w:type="dxa" w:w="1560"/>
            <w:shd w:fill="F2F6FA"/>
          </w:tcPr>
          <w:p>
            <w:r>
              <w:t>1.5%</w:t>
            </w:r>
          </w:p>
        </w:tc>
        <w:tc>
          <w:tcPr>
            <w:tcW w:type="dxa" w:w="1560"/>
            <w:shd w:fill="F2F6FA"/>
          </w:tcPr>
          <w:p>
            <w:r>
              <w:t>0.0%</w:t>
            </w:r>
          </w:p>
        </w:tc>
        <w:tc>
          <w:tcPr>
            <w:tcW w:type="dxa" w:w="1560"/>
            <w:shd w:fill="F2F6FA"/>
          </w:tcPr>
          <w:p>
            <w:r>
              <w:t>0.0%</w:t>
            </w:r>
          </w:p>
        </w:tc>
        <w:tc>
          <w:tcPr>
            <w:tcW w:type="dxa" w:w="1560"/>
            <w:shd w:fill="F2F6FA"/>
          </w:tcPr>
          <w:p>
            <w:r>
              <w:t>0.9%</w:t>
            </w:r>
          </w:p>
        </w:tc>
      </w:tr>
      <w:tr>
        <w:tc>
          <w:tcPr>
            <w:tcW w:type="dxa" w:w="1560"/>
          </w:tcPr>
          <w:p>
            <w:r>
              <w:t>Level Avg</w:t>
            </w:r>
          </w:p>
        </w:tc>
        <w:tc>
          <w:tcPr>
            <w:tcW w:type="dxa" w:w="1560"/>
          </w:tcPr>
          <w:p>
            <w:r>
              <w:t>1.1%</w:t>
            </w:r>
          </w:p>
        </w:tc>
        <w:tc>
          <w:tcPr>
            <w:tcW w:type="dxa" w:w="1560"/>
          </w:tcPr>
          <w:p>
            <w:r>
              <w:t>0.9%</w:t>
            </w:r>
          </w:p>
        </w:tc>
        <w:tc>
          <w:tcPr>
            <w:tcW w:type="dxa" w:w="1560"/>
          </w:tcPr>
          <w:p>
            <w:r>
              <w:t>2.0%</w:t>
            </w:r>
          </w:p>
        </w:tc>
        <w:tc>
          <w:tcPr>
            <w:tcW w:type="dxa" w:w="1560"/>
          </w:tcPr>
          <w:p>
            <w:r>
              <w:t>1.8%</w:t>
            </w:r>
          </w:p>
        </w:tc>
        <w:tc>
          <w:tcPr>
            <w:tcW w:type="dxa" w:w="1560"/>
          </w:tcPr>
          <w:p>
            <w:r/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Level L4 records the highest regrettable exit rate in Risk &amp; Compliance at 5.6%, while Level L3 peaks in Corporate Operations at 4.3%. The overall regrettable exit rate is 1.2%, with Corporate Operations (1.7%) and Risk &amp; Compliance (1.6%) showing the highest department-level averages.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Q9: What drives early exits more — poor onboarding or lack of promotion?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Exit Reason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Count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of All Exits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Avg Tenure (months)</w:t>
            </w:r>
          </w:p>
        </w:tc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Regrettable 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Career Advancement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649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27.8%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18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62.3%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Compensation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478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20.5%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24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58.7%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Manager Relationship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312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13.4%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31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71.2%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Work-Life Balance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241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10.3%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89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41.5%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Onboarding Experience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187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8.0%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22.8%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Role Fit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168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7.2%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14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53.4%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Relocation / Personal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153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6.6%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42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31.7%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Other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146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6.3%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36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20"/>
              </w:rPr>
              <w:t>35.1%</w:t>
            </w:r>
          </w:p>
        </w:tc>
      </w:tr>
      <w:tr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Total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2,334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28</w:t>
            </w:r>
          </w:p>
        </w:tc>
        <w:tc>
          <w:tcPr>
            <w:tcW w:type="dxa" w:w="1872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52.4%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Career advancement is the number one exit reason at 649 cases (27.8%) with 62.3% regrettable rate — over three times the volume of onboarding-related exits (187, 8.0%), confirming promotion gaps drive early exits far more than onboarding quality.</w:t>
      </w:r>
    </w:p>
    <w:p>
      <w:pPr>
        <w:spacing w:before="360" w:after="160"/>
      </w:pPr>
      <w:r>
        <w:rPr>
          <w:rFonts w:ascii="Calibri" w:hAnsi="Calibri"/>
          <w:b/>
          <w:color w:val="1F4E79"/>
          <w:sz w:val="32"/>
        </w:rPr>
        <w:t>Q10: At which levels would compensation raises most effectively plug retention gaps?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Headcount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Avg Compa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Target Compa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Compa Gap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Regrettable Exit Rate</w:t>
            </w:r>
          </w:p>
        </w:tc>
        <w:tc>
          <w:tcPr>
            <w:tcW w:type="dxa" w:w="1337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Pull-Exit Rate</w:t>
            </w:r>
          </w:p>
        </w:tc>
      </w:tr>
      <w:tr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L1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2,340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0.93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0.98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+0.05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3.9%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2.6%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L2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3,126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0.89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0.97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+0.08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5.7%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4.1%</w:t>
            </w:r>
          </w:p>
        </w:tc>
      </w:tr>
      <w:tr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L3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2,418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0.86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0.96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+0.10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8.6%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5.8%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L4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897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0.94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0.99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+0.05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4.4%</w:t>
            </w:r>
          </w:p>
        </w:tc>
        <w:tc>
          <w:tcPr>
            <w:tcW w:type="dxa" w:w="1337"/>
          </w:tcPr>
          <w:p>
            <w:r/>
            <w:r>
              <w:rPr>
                <w:rFonts w:ascii="Calibri" w:hAnsi="Calibri"/>
                <w:b w:val="0"/>
                <w:sz w:val="20"/>
              </w:rPr>
              <w:t>2.3%</w:t>
            </w:r>
          </w:p>
        </w:tc>
      </w:tr>
      <w:tr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L5+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0.98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1.00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+0.02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3.1%</w:t>
            </w:r>
          </w:p>
        </w:tc>
        <w:tc>
          <w:tcPr>
            <w:tcW w:type="dxa" w:w="1337"/>
            <w:shd w:fill="F2F6FA"/>
          </w:tcPr>
          <w:p>
            <w:r/>
            <w:r>
              <w:rPr>
                <w:rFonts w:ascii="Calibri" w:hAnsi="Calibri"/>
                <w:b w:val="0"/>
                <w:sz w:val="20"/>
              </w:rPr>
              <w:t>1.8%</w:t>
            </w:r>
          </w:p>
        </w:tc>
      </w:tr>
    </w:tbl>
    <w:p/>
    <w:p>
      <w:pPr>
        <w:spacing w:before="40" w:after="240"/>
      </w:pPr>
      <w:r>
        <w:rPr>
          <w:rFonts w:ascii="Calibri" w:hAnsi="Calibri"/>
          <w:i/>
          <w:sz w:val="22"/>
        </w:rPr>
        <w:t>Conclusion: The largest compa gap sits at L2 and L3 (8-10 points below market), where regrettable exits spike to 8.6%; targeted raises at these two levels would address the highest concentration of preventable regrettable turnover.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