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4E79"/>
          <w:sz w:val="52"/>
        </w:rPr>
        <w:t>The HiPo Paradox</w:t>
      </w:r>
    </w:p>
    <w:p>
      <w:pPr>
        <w:spacing w:after="480"/>
        <w:jc w:val="center"/>
      </w:pPr>
      <w:r>
        <w:rPr>
          <w:rFonts w:ascii="Calibri" w:hAnsi="Calibri"/>
          <w:color w:val="555555"/>
          <w:sz w:val="28"/>
        </w:rPr>
        <w:t>When High-Potential Designation Increases Attrition Risk</w:t>
      </w:r>
    </w:p>
    <w:p>
      <w:pPr>
        <w:spacing w:after="720"/>
        <w:jc w:val="center"/>
      </w:pPr>
      <w:r>
        <w:rPr>
          <w:rFonts w:ascii="Calibri" w:hAnsi="Calibri"/>
          <w:color w:val="888888"/>
          <w:sz w:val="24"/>
        </w:rPr>
        <w:t>Full Methodology, Statistical Validation, and Evidence-Based Recommendations</w:t>
      </w:r>
    </w:p>
    <w:p>
      <w:pPr>
        <w:spacing w:after="40"/>
        <w:jc w:val="center"/>
      </w:pPr>
      <w:r>
        <w:rPr>
          <w:rFonts w:ascii="Calibri" w:hAnsi="Calibri"/>
          <w:b/>
          <w:sz w:val="22"/>
        </w:rPr>
        <w:t xml:space="preserve">Author: </w:t>
      </w:r>
      <w:r>
        <w:rPr>
          <w:rFonts w:ascii="Calibri" w:hAnsi="Calibri"/>
          <w:sz w:val="22"/>
        </w:rPr>
        <w:t>People Analytics Team</w:t>
      </w:r>
    </w:p>
    <w:p>
      <w:pPr>
        <w:spacing w:after="40"/>
        <w:jc w:val="center"/>
      </w:pPr>
      <w:r>
        <w:rPr>
          <w:rFonts w:ascii="Calibri" w:hAnsi="Calibri"/>
          <w:b/>
          <w:sz w:val="22"/>
        </w:rPr>
        <w:t xml:space="preserve">Date: </w:t>
      </w:r>
      <w:r>
        <w:rPr>
          <w:rFonts w:ascii="Calibri" w:hAnsi="Calibri"/>
          <w:sz w:val="22"/>
        </w:rPr>
        <w:t>August 2026</w:t>
      </w:r>
    </w:p>
    <w:p>
      <w:pPr>
        <w:spacing w:after="40"/>
        <w:jc w:val="center"/>
      </w:pPr>
      <w:r>
        <w:rPr>
          <w:rFonts w:ascii="Calibri" w:hAnsi="Calibri"/>
          <w:b/>
          <w:sz w:val="22"/>
        </w:rPr>
        <w:t xml:space="preserve">Data Source: </w:t>
      </w:r>
      <w:r>
        <w:rPr>
          <w:rFonts w:ascii="Calibri" w:hAnsi="Calibri"/>
          <w:sz w:val="22"/>
        </w:rPr>
        <w:t>WorkdayHR — employees, attrition_log, engagement, performance</w:t>
      </w:r>
    </w:p>
    <w:p>
      <w:pPr>
        <w:spacing w:after="40"/>
        <w:jc w:val="center"/>
      </w:pPr>
      <w:r>
        <w:rPr>
          <w:rFonts w:ascii="Calibri" w:hAnsi="Calibri"/>
          <w:b/>
          <w:sz w:val="22"/>
        </w:rPr>
        <w:t xml:space="preserve">Scope: </w:t>
      </w:r>
      <w:r>
        <w:rPr>
          <w:rFonts w:ascii="Calibri" w:hAnsi="Calibri"/>
          <w:sz w:val="22"/>
        </w:rPr>
        <w:t>13,403 employees across 7 departments</w:t>
      </w:r>
    </w:p>
    <w:p>
      <w:pPr>
        <w:spacing w:after="40"/>
        <w:jc w:val="center"/>
      </w:pPr>
      <w:r>
        <w:rPr>
          <w:rFonts w:ascii="Calibri" w:hAnsi="Calibri"/>
          <w:b/>
          <w:sz w:val="22"/>
        </w:rPr>
        <w:t xml:space="preserve">Confidentiality: </w:t>
      </w:r>
      <w:r>
        <w:rPr>
          <w:rFonts w:ascii="Calibri" w:hAnsi="Calibri"/>
          <w:sz w:val="22"/>
        </w:rPr>
        <w:t>Internal — Not for External Distribution</w:t>
      </w:r>
    </w:p>
    <w:p>
      <w:r>
        <w:br w:type="page"/>
      </w:r>
    </w:p>
    <w:p>
      <w:pPr>
        <w:spacing w:before="360" w:after="160"/>
      </w:pPr>
      <w:r>
        <w:rPr>
          <w:rFonts w:ascii="Calibri" w:hAnsi="Calibri"/>
          <w:b/>
          <w:color w:val="1F4E79"/>
          <w:sz w:val="32"/>
        </w:rPr>
        <w:t>1. Executive Summary</w:t>
      </w:r>
    </w:p>
    <w:p>
      <w:pPr>
        <w:spacing w:line="276" w:lineRule="auto" w:after="120"/>
      </w:pPr>
      <w:r>
        <w:rPr>
          <w:rFonts w:ascii="Calibri" w:hAnsi="Calibri"/>
          <w:sz w:val="22"/>
        </w:rPr>
        <w:t>This report documents a counterintuitive finding in the organisation's talent data: employees designated as High Potential (HiPo) leave at a significantly higher rate than their non-designated peers. This phenomenon, which we term the HiPo Paradox, demands immediate attention from senior leadership.</w:t>
      </w:r>
    </w:p>
    <w:p>
      <w:pPr>
        <w:spacing w:line="276" w:lineRule="auto" w:after="120"/>
      </w:pPr>
      <w:r>
        <w:rPr>
          <w:rFonts w:ascii="Calibri" w:hAnsi="Calibri"/>
          <w:b/>
          <w:sz w:val="22"/>
        </w:rPr>
        <w:t xml:space="preserve">Core Finding: </w:t>
      </w:r>
      <w:r>
        <w:rPr>
          <w:rFonts w:ascii="Calibri" w:hAnsi="Calibri"/>
          <w:b w:val="0"/>
          <w:sz w:val="22"/>
        </w:rPr>
        <w:t>HiPo employees exhibit a voluntary exit rate of 12.5%, compared to 8.1% for non-HiPo employees. This 4.4 percentage-point gap is statistically significant (chi-square = 27.29, p &lt; 0.001). The effect is not marginal; it is both statistically and practically meaningful.</w:t>
      </w:r>
    </w:p>
    <w:p>
      <w:pPr>
        <w:spacing w:line="276" w:lineRule="auto" w:after="120"/>
      </w:pPr>
      <w:r>
        <w:rPr>
          <w:rFonts w:ascii="Calibri" w:hAnsi="Calibri"/>
          <w:b/>
          <w:sz w:val="22"/>
        </w:rPr>
        <w:t xml:space="preserve">The Paradox: </w:t>
      </w:r>
      <w:r>
        <w:rPr>
          <w:rFonts w:ascii="Calibri" w:hAnsi="Calibri"/>
          <w:b w:val="0"/>
          <w:sz w:val="22"/>
        </w:rPr>
        <w:t>Despite being labelled as the organisation's future leaders, only 29.3% of HiPos are flagged as promotion-eligible. Career development scores are effectively identical between the two groups (HiPo: 3.36 vs. Non-HiPo: 3.37, p = 0.794). The designation creates expectations that the organisation fails to fulfil.</w:t>
      </w:r>
    </w:p>
    <w:p>
      <w:pPr>
        <w:spacing w:line="276" w:lineRule="auto" w:after="120"/>
      </w:pPr>
      <w:r>
        <w:rPr>
          <w:rFonts w:ascii="Calibri" w:hAnsi="Calibri"/>
          <w:b/>
          <w:sz w:val="22"/>
        </w:rPr>
        <w:t xml:space="preserve">Regrettable Attrition: </w:t>
      </w:r>
      <w:r>
        <w:rPr>
          <w:rFonts w:ascii="Calibri" w:hAnsi="Calibri"/>
          <w:b w:val="0"/>
          <w:sz w:val="22"/>
        </w:rPr>
        <w:t>HiPos account for 76 of 153 voluntary regrettable exits (49.7%), despite representing only 9.0% of the workforce. The regrettable-exit rate for HiPos is 6.3%, compared to 0.6% for non-HiPos. When a HiPo leaves, the organisation is overwhelmingly more likely to consider that departure regrettable.</w:t>
      </w:r>
    </w:p>
    <w:p>
      <w:pPr>
        <w:spacing w:line="276" w:lineRule="auto" w:after="120"/>
      </w:pPr>
      <w:r>
        <w:rPr>
          <w:rFonts w:ascii="Calibri" w:hAnsi="Calibri"/>
          <w:sz w:val="22"/>
        </w:rPr>
        <w:t>These findings indicate a systemic failure in the HiPo programme. The designation appears to function as a label without a pathway. Employees receive recognition but not the differentiated development, accelerated promotion, or targeted investment that the label implies. The result is heightened expectations, frustration, and ultimately, exit.</w:t>
      </w:r>
    </w:p>
    <w:p>
      <w:pPr>
        <w:spacing w:line="276" w:lineRule="auto" w:after="120"/>
      </w:pPr>
      <w:r>
        <w:rPr>
          <w:rFonts w:ascii="Calibri" w:hAnsi="Calibri"/>
          <w:sz w:val="22"/>
        </w:rPr>
        <w:t>This report provides the complete methodology behind these calculations, detailed statistical validation, root-cause analysis grounded in the data, a review of external research on HiPo retention, and seven actionable recommendations for redesigning the programme.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
              <w:rPr>
                <w:rFonts w:ascii="Calibri" w:hAnsi="Calibri"/>
                <w:b/>
                <w:color w:val="FFFFFF"/>
                <w:sz w:val="20"/>
              </w:rPr>
              <w:t>Metric</w:t>
            </w:r>
          </w:p>
        </w:tc>
        <w:tc>
          <w:tcPr>
            <w:tcW w:type="dxa" w:w="1872"/>
            <w:shd w:fill="1F4E79"/>
          </w:tcPr>
          <w:p>
            <w:r/>
            <w:r>
              <w:rPr>
                <w:rFonts w:ascii="Calibri" w:hAnsi="Calibri"/>
                <w:b/>
                <w:color w:val="FFFFFF"/>
                <w:sz w:val="20"/>
              </w:rPr>
              <w:t>HiPo</w:t>
            </w:r>
          </w:p>
        </w:tc>
        <w:tc>
          <w:tcPr>
            <w:tcW w:type="dxa" w:w="1872"/>
            <w:shd w:fill="1F4E79"/>
          </w:tcPr>
          <w:p>
            <w:r/>
            <w:r>
              <w:rPr>
                <w:rFonts w:ascii="Calibri" w:hAnsi="Calibri"/>
                <w:b/>
                <w:color w:val="FFFFFF"/>
                <w:sz w:val="20"/>
              </w:rPr>
              <w:t>Non-HiPo</w:t>
            </w:r>
          </w:p>
        </w:tc>
        <w:tc>
          <w:tcPr>
            <w:tcW w:type="dxa" w:w="1872"/>
            <w:shd w:fill="1F4E79"/>
          </w:tcPr>
          <w:p>
            <w:r/>
            <w:r>
              <w:rPr>
                <w:rFonts w:ascii="Calibri" w:hAnsi="Calibri"/>
                <w:b/>
                <w:color w:val="FFFFFF"/>
                <w:sz w:val="20"/>
              </w:rPr>
              <w:t>Difference</w:t>
            </w:r>
          </w:p>
        </w:tc>
        <w:tc>
          <w:tcPr>
            <w:tcW w:type="dxa" w:w="1872"/>
            <w:shd w:fill="1F4E79"/>
          </w:tcPr>
          <w:p>
            <w:r/>
            <w:r>
              <w:rPr>
                <w:rFonts w:ascii="Calibri" w:hAnsi="Calibri"/>
                <w:b/>
                <w:color w:val="FFFFFF"/>
                <w:sz w:val="20"/>
              </w:rPr>
              <w:t>p-value</w:t>
            </w:r>
          </w:p>
        </w:tc>
      </w:tr>
      <w:tr>
        <w:tc>
          <w:tcPr>
            <w:tcW w:type="dxa" w:w="1872"/>
            <w:shd w:fill="F2F6FA"/>
          </w:tcPr>
          <w:p>
            <w:r/>
            <w:r>
              <w:rPr>
                <w:rFonts w:ascii="Calibri" w:hAnsi="Calibri"/>
                <w:b w:val="0"/>
                <w:sz w:val="20"/>
              </w:rPr>
              <w:t>Voluntary Exit Rate</w:t>
            </w:r>
          </w:p>
        </w:tc>
        <w:tc>
          <w:tcPr>
            <w:tcW w:type="dxa" w:w="1872"/>
            <w:shd w:fill="F2F6FA"/>
          </w:tcPr>
          <w:p>
            <w:r/>
            <w:r>
              <w:rPr>
                <w:rFonts w:ascii="Calibri" w:hAnsi="Calibri"/>
                <w:b w:val="0"/>
                <w:sz w:val="20"/>
              </w:rPr>
              <w:t>12.5%</w:t>
            </w:r>
          </w:p>
        </w:tc>
        <w:tc>
          <w:tcPr>
            <w:tcW w:type="dxa" w:w="1872"/>
            <w:shd w:fill="F2F6FA"/>
          </w:tcPr>
          <w:p>
            <w:r/>
            <w:r>
              <w:rPr>
                <w:rFonts w:ascii="Calibri" w:hAnsi="Calibri"/>
                <w:b w:val="0"/>
                <w:sz w:val="20"/>
              </w:rPr>
              <w:t>8.1%</w:t>
            </w:r>
          </w:p>
        </w:tc>
        <w:tc>
          <w:tcPr>
            <w:tcW w:type="dxa" w:w="1872"/>
            <w:shd w:fill="F2F6FA"/>
          </w:tcPr>
          <w:p>
            <w:r/>
            <w:r>
              <w:rPr>
                <w:rFonts w:ascii="Calibri" w:hAnsi="Calibri"/>
                <w:b w:val="0"/>
                <w:sz w:val="20"/>
              </w:rPr>
              <w:t>+4.4 pp</w:t>
            </w:r>
          </w:p>
        </w:tc>
        <w:tc>
          <w:tcPr>
            <w:tcW w:type="dxa" w:w="1872"/>
            <w:shd w:fill="F2F6FA"/>
          </w:tcPr>
          <w:p>
            <w:r/>
            <w:r>
              <w:rPr>
                <w:rFonts w:ascii="Calibri" w:hAnsi="Calibri"/>
                <w:b w:val="0"/>
                <w:sz w:val="20"/>
              </w:rPr>
              <w:t>p &lt; 0.001</w:t>
            </w:r>
          </w:p>
        </w:tc>
      </w:tr>
      <w:tr>
        <w:tc>
          <w:tcPr>
            <w:tcW w:type="dxa" w:w="1872"/>
          </w:tcPr>
          <w:p>
            <w:r/>
            <w:r>
              <w:rPr>
                <w:rFonts w:ascii="Calibri" w:hAnsi="Calibri"/>
                <w:b w:val="0"/>
                <w:sz w:val="20"/>
              </w:rPr>
              <w:t>Regrettable Exit Rate</w:t>
            </w:r>
          </w:p>
        </w:tc>
        <w:tc>
          <w:tcPr>
            <w:tcW w:type="dxa" w:w="1872"/>
          </w:tcPr>
          <w:p>
            <w:r/>
            <w:r>
              <w:rPr>
                <w:rFonts w:ascii="Calibri" w:hAnsi="Calibri"/>
                <w:b w:val="0"/>
                <w:sz w:val="20"/>
              </w:rPr>
              <w:t>6.3%</w:t>
            </w:r>
          </w:p>
        </w:tc>
        <w:tc>
          <w:tcPr>
            <w:tcW w:type="dxa" w:w="1872"/>
          </w:tcPr>
          <w:p>
            <w:r/>
            <w:r>
              <w:rPr>
                <w:rFonts w:ascii="Calibri" w:hAnsi="Calibri"/>
                <w:b w:val="0"/>
                <w:sz w:val="20"/>
              </w:rPr>
              <w:t>0.6%</w:t>
            </w:r>
          </w:p>
        </w:tc>
        <w:tc>
          <w:tcPr>
            <w:tcW w:type="dxa" w:w="1872"/>
          </w:tcPr>
          <w:p>
            <w:r/>
            <w:r>
              <w:rPr>
                <w:rFonts w:ascii="Calibri" w:hAnsi="Calibri"/>
                <w:b w:val="0"/>
                <w:sz w:val="20"/>
              </w:rPr>
              <w:t>+5.7 pp</w:t>
            </w:r>
          </w:p>
        </w:tc>
        <w:tc>
          <w:tcPr>
            <w:tcW w:type="dxa" w:w="1872"/>
          </w:tcPr>
          <w:p>
            <w:r/>
            <w:r>
              <w:rPr>
                <w:rFonts w:ascii="Calibri" w:hAnsi="Calibri"/>
                <w:b w:val="0"/>
                <w:sz w:val="20"/>
              </w:rPr>
              <w:t>p &lt; 0.001</w:t>
            </w:r>
          </w:p>
        </w:tc>
      </w:tr>
      <w:tr>
        <w:tc>
          <w:tcPr>
            <w:tcW w:type="dxa" w:w="1872"/>
            <w:shd w:fill="F2F6FA"/>
          </w:tcPr>
          <w:p>
            <w:r/>
            <w:r>
              <w:rPr>
                <w:rFonts w:ascii="Calibri" w:hAnsi="Calibri"/>
                <w:b w:val="0"/>
                <w:sz w:val="20"/>
              </w:rPr>
              <w:t>Promotion Eligible</w:t>
            </w:r>
          </w:p>
        </w:tc>
        <w:tc>
          <w:tcPr>
            <w:tcW w:type="dxa" w:w="1872"/>
            <w:shd w:fill="F2F6FA"/>
          </w:tcPr>
          <w:p>
            <w:r/>
            <w:r>
              <w:rPr>
                <w:rFonts w:ascii="Calibri" w:hAnsi="Calibri"/>
                <w:b w:val="0"/>
                <w:sz w:val="20"/>
              </w:rPr>
              <w:t>29.3%</w:t>
            </w:r>
          </w:p>
        </w:tc>
        <w:tc>
          <w:tcPr>
            <w:tcW w:type="dxa" w:w="1872"/>
            <w:shd w:fill="F2F6FA"/>
          </w:tcPr>
          <w:p>
            <w:r/>
            <w:r>
              <w:rPr>
                <w:rFonts w:ascii="Calibri" w:hAnsi="Calibri"/>
                <w:b w:val="0"/>
                <w:sz w:val="20"/>
              </w:rPr>
              <w:t>25.2%</w:t>
            </w:r>
          </w:p>
        </w:tc>
        <w:tc>
          <w:tcPr>
            <w:tcW w:type="dxa" w:w="1872"/>
            <w:shd w:fill="F2F6FA"/>
          </w:tcPr>
          <w:p>
            <w:r/>
            <w:r>
              <w:rPr>
                <w:rFonts w:ascii="Calibri" w:hAnsi="Calibri"/>
                <w:b w:val="0"/>
                <w:sz w:val="20"/>
              </w:rPr>
              <w:t>+4.1 pp</w:t>
            </w:r>
          </w:p>
        </w:tc>
        <w:tc>
          <w:tcPr>
            <w:tcW w:type="dxa" w:w="1872"/>
            <w:shd w:fill="F2F6FA"/>
          </w:tcPr>
          <w:p>
            <w:r/>
            <w:r>
              <w:rPr>
                <w:rFonts w:ascii="Calibri" w:hAnsi="Calibri"/>
                <w:b w:val="0"/>
                <w:sz w:val="20"/>
              </w:rPr>
              <w:t>p = 0.002</w:t>
            </w:r>
          </w:p>
        </w:tc>
      </w:tr>
      <w:tr>
        <w:tc>
          <w:tcPr>
            <w:tcW w:type="dxa" w:w="1872"/>
          </w:tcPr>
          <w:p>
            <w:r/>
            <w:r>
              <w:rPr>
                <w:rFonts w:ascii="Calibri" w:hAnsi="Calibri"/>
                <w:b w:val="0"/>
                <w:sz w:val="20"/>
              </w:rPr>
              <w:t>Career Development Score</w:t>
            </w:r>
          </w:p>
        </w:tc>
        <w:tc>
          <w:tcPr>
            <w:tcW w:type="dxa" w:w="1872"/>
          </w:tcPr>
          <w:p>
            <w:r/>
            <w:r>
              <w:rPr>
                <w:rFonts w:ascii="Calibri" w:hAnsi="Calibri"/>
                <w:b w:val="0"/>
                <w:sz w:val="20"/>
              </w:rPr>
              <w:t>3.36</w:t>
            </w:r>
          </w:p>
        </w:tc>
        <w:tc>
          <w:tcPr>
            <w:tcW w:type="dxa" w:w="1872"/>
          </w:tcPr>
          <w:p>
            <w:r/>
            <w:r>
              <w:rPr>
                <w:rFonts w:ascii="Calibri" w:hAnsi="Calibri"/>
                <w:b w:val="0"/>
                <w:sz w:val="20"/>
              </w:rPr>
              <w:t>3.37</w:t>
            </w:r>
          </w:p>
        </w:tc>
        <w:tc>
          <w:tcPr>
            <w:tcW w:type="dxa" w:w="1872"/>
          </w:tcPr>
          <w:p>
            <w:r/>
            <w:r>
              <w:rPr>
                <w:rFonts w:ascii="Calibri" w:hAnsi="Calibri"/>
                <w:b w:val="0"/>
                <w:sz w:val="20"/>
              </w:rPr>
              <w:t>-0.01</w:t>
            </w:r>
          </w:p>
        </w:tc>
        <w:tc>
          <w:tcPr>
            <w:tcW w:type="dxa" w:w="1872"/>
          </w:tcPr>
          <w:p>
            <w:r/>
            <w:r>
              <w:rPr>
                <w:rFonts w:ascii="Calibri" w:hAnsi="Calibri"/>
                <w:b w:val="0"/>
                <w:sz w:val="20"/>
              </w:rPr>
              <w:t>p = 0.794</w:t>
            </w:r>
          </w:p>
        </w:tc>
      </w:tr>
      <w:tr>
        <w:tc>
          <w:tcPr>
            <w:tcW w:type="dxa" w:w="1872"/>
            <w:shd w:fill="F2F6FA"/>
          </w:tcPr>
          <w:p>
            <w:r/>
            <w:r>
              <w:rPr>
                <w:rFonts w:ascii="Calibri" w:hAnsi="Calibri"/>
                <w:b w:val="0"/>
                <w:sz w:val="20"/>
              </w:rPr>
              <w:t>Manager Effectiveness</w:t>
            </w:r>
          </w:p>
        </w:tc>
        <w:tc>
          <w:tcPr>
            <w:tcW w:type="dxa" w:w="1872"/>
            <w:shd w:fill="F2F6FA"/>
          </w:tcPr>
          <w:p>
            <w:r/>
            <w:r>
              <w:rPr>
                <w:rFonts w:ascii="Calibri" w:hAnsi="Calibri"/>
                <w:b w:val="0"/>
                <w:sz w:val="20"/>
              </w:rPr>
              <w:t>3.40</w:t>
            </w:r>
          </w:p>
        </w:tc>
        <w:tc>
          <w:tcPr>
            <w:tcW w:type="dxa" w:w="1872"/>
            <w:shd w:fill="F2F6FA"/>
          </w:tcPr>
          <w:p>
            <w:r/>
            <w:r>
              <w:rPr>
                <w:rFonts w:ascii="Calibri" w:hAnsi="Calibri"/>
                <w:b w:val="0"/>
                <w:sz w:val="20"/>
              </w:rPr>
              <w:t>3.36</w:t>
            </w:r>
          </w:p>
        </w:tc>
        <w:tc>
          <w:tcPr>
            <w:tcW w:type="dxa" w:w="1872"/>
            <w:shd w:fill="F2F6FA"/>
          </w:tcPr>
          <w:p>
            <w:r/>
            <w:r>
              <w:rPr>
                <w:rFonts w:ascii="Calibri" w:hAnsi="Calibri"/>
                <w:b w:val="0"/>
                <w:sz w:val="20"/>
              </w:rPr>
              <w:t>+0.04</w:t>
            </w:r>
          </w:p>
        </w:tc>
        <w:tc>
          <w:tcPr>
            <w:tcW w:type="dxa" w:w="1872"/>
            <w:shd w:fill="F2F6FA"/>
          </w:tcPr>
          <w:p>
            <w:r/>
            <w:r>
              <w:rPr>
                <w:rFonts w:ascii="Calibri" w:hAnsi="Calibri"/>
                <w:b w:val="0"/>
                <w:sz w:val="20"/>
              </w:rPr>
              <w:t>p = 0.149</w:t>
            </w:r>
          </w:p>
        </w:tc>
      </w:tr>
      <w:tr>
        <w:tc>
          <w:tcPr>
            <w:tcW w:type="dxa" w:w="1872"/>
          </w:tcPr>
          <w:p>
            <w:r/>
            <w:r>
              <w:rPr>
                <w:rFonts w:ascii="Calibri" w:hAnsi="Calibri"/>
                <w:b w:val="0"/>
                <w:sz w:val="20"/>
              </w:rPr>
              <w:t>Leadership Trust</w:t>
            </w:r>
          </w:p>
        </w:tc>
        <w:tc>
          <w:tcPr>
            <w:tcW w:type="dxa" w:w="1872"/>
          </w:tcPr>
          <w:p>
            <w:r/>
            <w:r>
              <w:rPr>
                <w:rFonts w:ascii="Calibri" w:hAnsi="Calibri"/>
                <w:b w:val="0"/>
                <w:sz w:val="20"/>
              </w:rPr>
              <w:t>3.34</w:t>
            </w:r>
          </w:p>
        </w:tc>
        <w:tc>
          <w:tcPr>
            <w:tcW w:type="dxa" w:w="1872"/>
          </w:tcPr>
          <w:p>
            <w:r/>
            <w:r>
              <w:rPr>
                <w:rFonts w:ascii="Calibri" w:hAnsi="Calibri"/>
                <w:b w:val="0"/>
                <w:sz w:val="20"/>
              </w:rPr>
              <w:t>3.33</w:t>
            </w:r>
          </w:p>
        </w:tc>
        <w:tc>
          <w:tcPr>
            <w:tcW w:type="dxa" w:w="1872"/>
          </w:tcPr>
          <w:p>
            <w:r/>
            <w:r>
              <w:rPr>
                <w:rFonts w:ascii="Calibri" w:hAnsi="Calibri"/>
                <w:b w:val="0"/>
                <w:sz w:val="20"/>
              </w:rPr>
              <w:t>+0.01</w:t>
            </w:r>
          </w:p>
        </w:tc>
        <w:tc>
          <w:tcPr>
            <w:tcW w:type="dxa" w:w="1872"/>
          </w:tcPr>
          <w:p>
            <w:r/>
            <w:r>
              <w:rPr>
                <w:rFonts w:ascii="Calibri" w:hAnsi="Calibri"/>
                <w:b w:val="0"/>
                <w:sz w:val="20"/>
              </w:rPr>
              <w:t>p = 0.568</w:t>
            </w:r>
          </w:p>
        </w:tc>
      </w:tr>
      <w:tr>
        <w:tc>
          <w:tcPr>
            <w:tcW w:type="dxa" w:w="1872"/>
            <w:shd w:fill="F2F6FA"/>
          </w:tcPr>
          <w:p>
            <w:r/>
            <w:r>
              <w:rPr>
                <w:rFonts w:ascii="Calibri" w:hAnsi="Calibri"/>
                <w:b w:val="0"/>
                <w:sz w:val="20"/>
              </w:rPr>
              <w:t>Confidence in Future</w:t>
            </w:r>
          </w:p>
        </w:tc>
        <w:tc>
          <w:tcPr>
            <w:tcW w:type="dxa" w:w="1872"/>
            <w:shd w:fill="F2F6FA"/>
          </w:tcPr>
          <w:p>
            <w:r/>
            <w:r>
              <w:rPr>
                <w:rFonts w:ascii="Calibri" w:hAnsi="Calibri"/>
                <w:b w:val="0"/>
                <w:sz w:val="20"/>
              </w:rPr>
              <w:t>3.39</w:t>
            </w:r>
          </w:p>
        </w:tc>
        <w:tc>
          <w:tcPr>
            <w:tcW w:type="dxa" w:w="1872"/>
            <w:shd w:fill="F2F6FA"/>
          </w:tcPr>
          <w:p>
            <w:r/>
            <w:r>
              <w:rPr>
                <w:rFonts w:ascii="Calibri" w:hAnsi="Calibri"/>
                <w:b w:val="0"/>
                <w:sz w:val="20"/>
              </w:rPr>
              <w:t>3.37</w:t>
            </w:r>
          </w:p>
        </w:tc>
        <w:tc>
          <w:tcPr>
            <w:tcW w:type="dxa" w:w="1872"/>
            <w:shd w:fill="F2F6FA"/>
          </w:tcPr>
          <w:p>
            <w:r/>
            <w:r>
              <w:rPr>
                <w:rFonts w:ascii="Calibri" w:hAnsi="Calibri"/>
                <w:b w:val="0"/>
                <w:sz w:val="20"/>
              </w:rPr>
              <w:t>+0.02</w:t>
            </w:r>
          </w:p>
        </w:tc>
        <w:tc>
          <w:tcPr>
            <w:tcW w:type="dxa" w:w="1872"/>
            <w:shd w:fill="F2F6FA"/>
          </w:tcPr>
          <w:p>
            <w:r/>
            <w:r>
              <w:rPr>
                <w:rFonts w:ascii="Calibri" w:hAnsi="Calibri"/>
                <w:b w:val="0"/>
                <w:sz w:val="20"/>
              </w:rPr>
              <w:t>p = 0.443</w:t>
            </w:r>
          </w:p>
        </w:tc>
      </w:tr>
      <w:tr>
        <w:tc>
          <w:tcPr>
            <w:tcW w:type="dxa" w:w="1872"/>
          </w:tcPr>
          <w:p>
            <w:r/>
            <w:r>
              <w:rPr>
                <w:rFonts w:ascii="Calibri" w:hAnsi="Calibri"/>
                <w:b w:val="0"/>
                <w:sz w:val="20"/>
              </w:rPr>
              <w:t>Recognition</w:t>
            </w:r>
          </w:p>
        </w:tc>
        <w:tc>
          <w:tcPr>
            <w:tcW w:type="dxa" w:w="1872"/>
          </w:tcPr>
          <w:p>
            <w:r/>
            <w:r>
              <w:rPr>
                <w:rFonts w:ascii="Calibri" w:hAnsi="Calibri"/>
                <w:b w:val="0"/>
                <w:sz w:val="20"/>
              </w:rPr>
              <w:t>3.36</w:t>
            </w:r>
          </w:p>
        </w:tc>
        <w:tc>
          <w:tcPr>
            <w:tcW w:type="dxa" w:w="1872"/>
          </w:tcPr>
          <w:p>
            <w:r/>
            <w:r>
              <w:rPr>
                <w:rFonts w:ascii="Calibri" w:hAnsi="Calibri"/>
                <w:b w:val="0"/>
                <w:sz w:val="20"/>
              </w:rPr>
              <w:t>3.38</w:t>
            </w:r>
          </w:p>
        </w:tc>
        <w:tc>
          <w:tcPr>
            <w:tcW w:type="dxa" w:w="1872"/>
          </w:tcPr>
          <w:p>
            <w:r/>
            <w:r>
              <w:rPr>
                <w:rFonts w:ascii="Calibri" w:hAnsi="Calibri"/>
                <w:b w:val="0"/>
                <w:sz w:val="20"/>
              </w:rPr>
              <w:t>-0.02</w:t>
            </w:r>
          </w:p>
        </w:tc>
        <w:tc>
          <w:tcPr>
            <w:tcW w:type="dxa" w:w="1872"/>
          </w:tcPr>
          <w:p>
            <w:r/>
            <w:r>
              <w:rPr>
                <w:rFonts w:ascii="Calibri" w:hAnsi="Calibri"/>
                <w:b w:val="0"/>
                <w:sz w:val="20"/>
              </w:rPr>
              <w:t>p = 0.401</w:t>
            </w:r>
          </w:p>
        </w:tc>
      </w:tr>
    </w:tbl>
    <w:p/>
    <w:p>
      <w:pPr>
        <w:spacing w:line="276" w:lineRule="auto" w:after="120"/>
      </w:pPr>
      <w:r>
        <w:rPr>
          <w:rFonts w:ascii="Calibri" w:hAnsi="Calibri"/>
          <w:sz w:val="22"/>
        </w:rPr>
        <w:t>[Source: employees.csv (n=13,403), attrition_log.csv (n=1,400), engagement.csv (4 waves, n~55,972 responses), performance.csv (n=34,980)]</w:t>
      </w:r>
    </w:p>
    <w:p>
      <w:r>
        <w:br w:type="page"/>
      </w:r>
    </w:p>
    <w:p>
      <w:pPr>
        <w:spacing w:before="360" w:after="160"/>
      </w:pPr>
      <w:r>
        <w:rPr>
          <w:rFonts w:ascii="Calibri" w:hAnsi="Calibri"/>
          <w:b/>
          <w:color w:val="1F4E79"/>
          <w:sz w:val="32"/>
        </w:rPr>
        <w:t>2. Raw Data and Descriptive Statistics</w:t>
      </w:r>
    </w:p>
    <w:p>
      <w:pPr>
        <w:spacing w:before="240" w:after="160"/>
      </w:pPr>
      <w:r>
        <w:rPr>
          <w:rFonts w:ascii="Calibri" w:hAnsi="Calibri"/>
          <w:b/>
          <w:sz w:val="28"/>
        </w:rPr>
        <w:t>2.1 Data Sources</w:t>
      </w:r>
    </w:p>
    <w:p>
      <w:pPr>
        <w:spacing w:line="276" w:lineRule="auto" w:after="120"/>
      </w:pPr>
      <w:r>
        <w:rPr>
          <w:rFonts w:ascii="Calibri" w:hAnsi="Calibri"/>
          <w:sz w:val="22"/>
        </w:rPr>
        <w:t>The analysis draws on four internal datasets extracted from the WorkdayHR system. The employee master file (employees.csv) contains 13,403 records with demographic data, job attributes, and the hipo_flag and promotion_eligible fields. The attrition log (attrition_log.csv) records 1,400 exit events with exit type, stated reason, and a regrettable-flag assessment by the departing employee's manager. The engagement survey (engagement.csv) provides 55,972 individual responses across four quarterly waves, covering eight psychometric dimensions scored on a 1-5 Likert scale. The performance dataset (performance.csv) contains 34,980 biannual review records with ratings and goal-achievement scores.</w:t>
      </w:r>
    </w:p>
    <w:p>
      <w:pPr>
        <w:spacing w:before="240" w:after="160"/>
      </w:pPr>
      <w:r>
        <w:rPr>
          <w:rFonts w:ascii="Calibri" w:hAnsi="Calibri"/>
          <w:b/>
          <w:sz w:val="28"/>
        </w:rPr>
        <w:t>2.2 Population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
              <w:rPr>
                <w:rFonts w:ascii="Calibri" w:hAnsi="Calibri"/>
                <w:b/>
                <w:color w:val="FFFFFF"/>
                <w:sz w:val="20"/>
              </w:rPr>
              <w:t>Category</w:t>
            </w:r>
          </w:p>
        </w:tc>
        <w:tc>
          <w:tcPr>
            <w:tcW w:type="dxa" w:w="3120"/>
            <w:shd w:fill="1F4E79"/>
          </w:tcPr>
          <w:p>
            <w:r/>
            <w:r>
              <w:rPr>
                <w:rFonts w:ascii="Calibri" w:hAnsi="Calibri"/>
                <w:b/>
                <w:color w:val="FFFFFF"/>
                <w:sz w:val="20"/>
              </w:rPr>
              <w:t>Count</w:t>
            </w:r>
          </w:p>
        </w:tc>
        <w:tc>
          <w:tcPr>
            <w:tcW w:type="dxa" w:w="3120"/>
            <w:shd w:fill="1F4E79"/>
          </w:tcPr>
          <w:p>
            <w:r/>
            <w:r>
              <w:rPr>
                <w:rFonts w:ascii="Calibri" w:hAnsi="Calibri"/>
                <w:b/>
                <w:color w:val="FFFFFF"/>
                <w:sz w:val="20"/>
              </w:rPr>
              <w:t>Percentage</w:t>
            </w:r>
          </w:p>
        </w:tc>
      </w:tr>
      <w:tr>
        <w:tc>
          <w:tcPr>
            <w:tcW w:type="dxa" w:w="3120"/>
            <w:shd w:fill="F2F6FA"/>
          </w:tcPr>
          <w:p>
            <w:r/>
            <w:r>
              <w:rPr>
                <w:rFonts w:ascii="Calibri" w:hAnsi="Calibri"/>
                <w:b w:val="0"/>
                <w:sz w:val="20"/>
              </w:rPr>
              <w:t>Total Employees</w:t>
            </w:r>
          </w:p>
        </w:tc>
        <w:tc>
          <w:tcPr>
            <w:tcW w:type="dxa" w:w="3120"/>
            <w:shd w:fill="F2F6FA"/>
          </w:tcPr>
          <w:p>
            <w:r/>
            <w:r>
              <w:rPr>
                <w:rFonts w:ascii="Calibri" w:hAnsi="Calibri"/>
                <w:b w:val="0"/>
                <w:sz w:val="20"/>
              </w:rPr>
              <w:t>13,403</w:t>
            </w:r>
          </w:p>
        </w:tc>
        <w:tc>
          <w:tcPr>
            <w:tcW w:type="dxa" w:w="3120"/>
            <w:shd w:fill="F2F6FA"/>
          </w:tcPr>
          <w:p>
            <w:r/>
            <w:r>
              <w:rPr>
                <w:rFonts w:ascii="Calibri" w:hAnsi="Calibri"/>
                <w:b w:val="0"/>
                <w:sz w:val="20"/>
              </w:rPr>
              <w:t>100.0%</w:t>
            </w:r>
          </w:p>
        </w:tc>
      </w:tr>
      <w:tr>
        <w:tc>
          <w:tcPr>
            <w:tcW w:type="dxa" w:w="3120"/>
          </w:tcPr>
          <w:p>
            <w:r/>
            <w:r>
              <w:rPr>
                <w:rFonts w:ascii="Calibri" w:hAnsi="Calibri"/>
                <w:b w:val="0"/>
                <w:sz w:val="20"/>
              </w:rPr>
              <w:t>HiPo Designated</w:t>
            </w:r>
          </w:p>
        </w:tc>
        <w:tc>
          <w:tcPr>
            <w:tcW w:type="dxa" w:w="3120"/>
          </w:tcPr>
          <w:p>
            <w:r/>
            <w:r>
              <w:rPr>
                <w:rFonts w:ascii="Calibri" w:hAnsi="Calibri"/>
                <w:b w:val="0"/>
                <w:sz w:val="20"/>
              </w:rPr>
              <w:t>1,210</w:t>
            </w:r>
          </w:p>
        </w:tc>
        <w:tc>
          <w:tcPr>
            <w:tcW w:type="dxa" w:w="3120"/>
          </w:tcPr>
          <w:p>
            <w:r/>
            <w:r>
              <w:rPr>
                <w:rFonts w:ascii="Calibri" w:hAnsi="Calibri"/>
                <w:b w:val="0"/>
                <w:sz w:val="20"/>
              </w:rPr>
              <w:t>9.0%</w:t>
            </w:r>
          </w:p>
        </w:tc>
      </w:tr>
      <w:tr>
        <w:tc>
          <w:tcPr>
            <w:tcW w:type="dxa" w:w="3120"/>
            <w:shd w:fill="F2F6FA"/>
          </w:tcPr>
          <w:p>
            <w:r/>
            <w:r>
              <w:rPr>
                <w:rFonts w:ascii="Calibri" w:hAnsi="Calibri"/>
                <w:b w:val="0"/>
                <w:sz w:val="20"/>
              </w:rPr>
              <w:t>Non-HiPo</w:t>
            </w:r>
          </w:p>
        </w:tc>
        <w:tc>
          <w:tcPr>
            <w:tcW w:type="dxa" w:w="3120"/>
            <w:shd w:fill="F2F6FA"/>
          </w:tcPr>
          <w:p>
            <w:r/>
            <w:r>
              <w:rPr>
                <w:rFonts w:ascii="Calibri" w:hAnsi="Calibri"/>
                <w:b w:val="0"/>
                <w:sz w:val="20"/>
              </w:rPr>
              <w:t>12,193</w:t>
            </w:r>
          </w:p>
        </w:tc>
        <w:tc>
          <w:tcPr>
            <w:tcW w:type="dxa" w:w="3120"/>
            <w:shd w:fill="F2F6FA"/>
          </w:tcPr>
          <w:p>
            <w:r/>
            <w:r>
              <w:rPr>
                <w:rFonts w:ascii="Calibri" w:hAnsi="Calibri"/>
                <w:b w:val="0"/>
                <w:sz w:val="20"/>
              </w:rPr>
              <w:t>91.0%</w:t>
            </w:r>
          </w:p>
        </w:tc>
      </w:tr>
      <w:tr>
        <w:tc>
          <w:tcPr>
            <w:tcW w:type="dxa" w:w="3120"/>
          </w:tcPr>
          <w:p>
            <w:r/>
            <w:r>
              <w:rPr>
                <w:rFonts w:ascii="Calibri" w:hAnsi="Calibri"/>
                <w:b w:val="0"/>
                <w:sz w:val="20"/>
              </w:rPr>
              <w:t>Active Employees</w:t>
            </w:r>
          </w:p>
        </w:tc>
        <w:tc>
          <w:tcPr>
            <w:tcW w:type="dxa" w:w="3120"/>
          </w:tcPr>
          <w:p>
            <w:r/>
            <w:r>
              <w:rPr>
                <w:rFonts w:ascii="Calibri" w:hAnsi="Calibri"/>
                <w:b w:val="0"/>
                <w:sz w:val="20"/>
              </w:rPr>
              <w:t>12,270</w:t>
            </w:r>
          </w:p>
        </w:tc>
        <w:tc>
          <w:tcPr>
            <w:tcW w:type="dxa" w:w="3120"/>
          </w:tcPr>
          <w:p>
            <w:r/>
            <w:r>
              <w:rPr>
                <w:rFonts w:ascii="Calibri" w:hAnsi="Calibri"/>
                <w:b w:val="0"/>
                <w:sz w:val="20"/>
              </w:rPr>
              <w:t>91.5%</w:t>
            </w:r>
          </w:p>
        </w:tc>
      </w:tr>
      <w:tr>
        <w:tc>
          <w:tcPr>
            <w:tcW w:type="dxa" w:w="3120"/>
            <w:shd w:fill="F2F6FA"/>
          </w:tcPr>
          <w:p>
            <w:r/>
            <w:r>
              <w:rPr>
                <w:rFonts w:ascii="Calibri" w:hAnsi="Calibri"/>
                <w:b w:val="0"/>
                <w:sz w:val="20"/>
              </w:rPr>
              <w:t>Departed Employees</w:t>
            </w:r>
          </w:p>
        </w:tc>
        <w:tc>
          <w:tcPr>
            <w:tcW w:type="dxa" w:w="3120"/>
            <w:shd w:fill="F2F6FA"/>
          </w:tcPr>
          <w:p>
            <w:r/>
            <w:r>
              <w:rPr>
                <w:rFonts w:ascii="Calibri" w:hAnsi="Calibri"/>
                <w:b w:val="0"/>
                <w:sz w:val="20"/>
              </w:rPr>
              <w:t>1,133</w:t>
            </w:r>
          </w:p>
        </w:tc>
        <w:tc>
          <w:tcPr>
            <w:tcW w:type="dxa" w:w="3120"/>
            <w:shd w:fill="F2F6FA"/>
          </w:tcPr>
          <w:p>
            <w:r/>
            <w:r>
              <w:rPr>
                <w:rFonts w:ascii="Calibri" w:hAnsi="Calibri"/>
                <w:b w:val="0"/>
                <w:sz w:val="20"/>
              </w:rPr>
              <w:t>8.5%</w:t>
            </w:r>
          </w:p>
        </w:tc>
      </w:tr>
      <w:tr>
        <w:tc>
          <w:tcPr>
            <w:tcW w:type="dxa" w:w="3120"/>
          </w:tcPr>
          <w:p>
            <w:r/>
            <w:r>
              <w:rPr>
                <w:rFonts w:ascii="Calibri" w:hAnsi="Calibri"/>
                <w:b w:val="0"/>
                <w:sz w:val="20"/>
              </w:rPr>
              <w:t>Voluntary Exits</w:t>
            </w:r>
          </w:p>
        </w:tc>
        <w:tc>
          <w:tcPr>
            <w:tcW w:type="dxa" w:w="3120"/>
          </w:tcPr>
          <w:p>
            <w:r/>
            <w:r>
              <w:rPr>
                <w:rFonts w:ascii="Calibri" w:hAnsi="Calibri"/>
                <w:b w:val="0"/>
                <w:sz w:val="20"/>
              </w:rPr>
              <w:t>1,133</w:t>
            </w:r>
          </w:p>
        </w:tc>
        <w:tc>
          <w:tcPr>
            <w:tcW w:type="dxa" w:w="3120"/>
          </w:tcPr>
          <w:p>
            <w:r/>
            <w:r>
              <w:rPr>
                <w:rFonts w:ascii="Calibri" w:hAnsi="Calibri"/>
                <w:b w:val="0"/>
                <w:sz w:val="20"/>
              </w:rPr>
              <w:t>8.5%</w:t>
            </w:r>
          </w:p>
        </w:tc>
      </w:tr>
      <w:tr>
        <w:tc>
          <w:tcPr>
            <w:tcW w:type="dxa" w:w="3120"/>
            <w:shd w:fill="F2F6FA"/>
          </w:tcPr>
          <w:p>
            <w:r/>
            <w:r>
              <w:rPr>
                <w:rFonts w:ascii="Calibri" w:hAnsi="Calibri"/>
                <w:b w:val="0"/>
                <w:sz w:val="20"/>
              </w:rPr>
              <w:t>Voluntary Regrettable Exits</w:t>
            </w:r>
          </w:p>
        </w:tc>
        <w:tc>
          <w:tcPr>
            <w:tcW w:type="dxa" w:w="3120"/>
            <w:shd w:fill="F2F6FA"/>
          </w:tcPr>
          <w:p>
            <w:r/>
            <w:r>
              <w:rPr>
                <w:rFonts w:ascii="Calibri" w:hAnsi="Calibri"/>
                <w:b w:val="0"/>
                <w:sz w:val="20"/>
              </w:rPr>
              <w:t>153</w:t>
            </w:r>
          </w:p>
        </w:tc>
        <w:tc>
          <w:tcPr>
            <w:tcW w:type="dxa" w:w="3120"/>
            <w:shd w:fill="F2F6FA"/>
          </w:tcPr>
          <w:p>
            <w:r/>
            <w:r>
              <w:rPr>
                <w:rFonts w:ascii="Calibri" w:hAnsi="Calibri"/>
                <w:b w:val="0"/>
                <w:sz w:val="20"/>
              </w:rPr>
              <w:t>1.1%</w:t>
            </w:r>
          </w:p>
        </w:tc>
      </w:tr>
    </w:tbl>
    <w:p/>
    <w:p>
      <w:pPr>
        <w:spacing w:line="276" w:lineRule="auto" w:after="120"/>
      </w:pPr>
      <w:r>
        <w:rPr>
          <w:rFonts w:ascii="Calibri" w:hAnsi="Calibri"/>
          <w:sz w:val="22"/>
        </w:rPr>
        <w:t>[Source: employees.csv, attrition_log.csv. Excludes involuntary terminations and retirements from voluntary-exit analysis.]</w:t>
      </w:r>
    </w:p>
    <w:p>
      <w:pPr>
        <w:spacing w:before="240" w:after="160"/>
      </w:pPr>
      <w:r>
        <w:rPr>
          <w:rFonts w:ascii="Calibri" w:hAnsi="Calibri"/>
          <w:b/>
          <w:sz w:val="28"/>
        </w:rPr>
        <w:t>2.3 Key Metric: Voluntary Exit Rate by HiPo Status</w:t>
      </w:r>
    </w:p>
    <w:p>
      <w:pPr>
        <w:spacing w:line="276" w:lineRule="auto" w:after="120"/>
      </w:pPr>
      <w:r>
        <w:rPr>
          <w:rFonts w:ascii="Calibri" w:hAnsi="Calibri"/>
          <w:sz w:val="22"/>
        </w:rPr>
        <w:t>The voluntary exit rate is calculated as the number of employees with at least one voluntary-exit record in attrition_log.csv divided by the total employee count in each group (HiPo and non-HiPo). This is an incidence rate over the observation window, not a survival-based hazard rate.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
              <w:rPr>
                <w:rFonts w:ascii="Calibri" w:hAnsi="Calibri"/>
                <w:b/>
                <w:color w:val="FFFFFF"/>
                <w:sz w:val="20"/>
              </w:rPr>
              <w:t>Group</w:t>
            </w:r>
          </w:p>
        </w:tc>
        <w:tc>
          <w:tcPr>
            <w:tcW w:type="dxa" w:w="1872"/>
            <w:shd w:fill="1F4E79"/>
          </w:tcPr>
          <w:p>
            <w:r/>
            <w:r>
              <w:rPr>
                <w:rFonts w:ascii="Calibri" w:hAnsi="Calibri"/>
                <w:b/>
                <w:color w:val="FFFFFF"/>
                <w:sz w:val="20"/>
              </w:rPr>
              <w:t>Total N</w:t>
            </w:r>
          </w:p>
        </w:tc>
        <w:tc>
          <w:tcPr>
            <w:tcW w:type="dxa" w:w="1872"/>
            <w:shd w:fill="1F4E79"/>
          </w:tcPr>
          <w:p>
            <w:r/>
            <w:r>
              <w:rPr>
                <w:rFonts w:ascii="Calibri" w:hAnsi="Calibri"/>
                <w:b/>
                <w:color w:val="FFFFFF"/>
                <w:sz w:val="20"/>
              </w:rPr>
              <w:t>Voluntary Exits</w:t>
            </w:r>
          </w:p>
        </w:tc>
        <w:tc>
          <w:tcPr>
            <w:tcW w:type="dxa" w:w="1872"/>
            <w:shd w:fill="1F4E79"/>
          </w:tcPr>
          <w:p>
            <w:r/>
            <w:r>
              <w:rPr>
                <w:rFonts w:ascii="Calibri" w:hAnsi="Calibri"/>
                <w:b/>
                <w:color w:val="FFFFFF"/>
                <w:sz w:val="20"/>
              </w:rPr>
              <w:t>Exit Rate</w:t>
            </w:r>
          </w:p>
        </w:tc>
        <w:tc>
          <w:tcPr>
            <w:tcW w:type="dxa" w:w="1872"/>
            <w:shd w:fill="1F4E79"/>
          </w:tcPr>
          <w:p>
            <w:r/>
            <w:r>
              <w:rPr>
                <w:rFonts w:ascii="Calibri" w:hAnsi="Calibri"/>
                <w:b/>
                <w:color w:val="FFFFFF"/>
                <w:sz w:val="20"/>
              </w:rPr>
              <w:t>95% CI</w:t>
            </w:r>
          </w:p>
        </w:tc>
      </w:tr>
      <w:tr>
        <w:tc>
          <w:tcPr>
            <w:tcW w:type="dxa" w:w="1872"/>
            <w:shd w:fill="F2F6FA"/>
          </w:tcPr>
          <w:p>
            <w:r/>
            <w:r>
              <w:rPr>
                <w:rFonts w:ascii="Calibri" w:hAnsi="Calibri"/>
                <w:b w:val="0"/>
                <w:sz w:val="20"/>
              </w:rPr>
              <w:t>HiPo</w:t>
            </w:r>
          </w:p>
        </w:tc>
        <w:tc>
          <w:tcPr>
            <w:tcW w:type="dxa" w:w="1872"/>
            <w:shd w:fill="F2F6FA"/>
          </w:tcPr>
          <w:p>
            <w:r/>
            <w:r>
              <w:rPr>
                <w:rFonts w:ascii="Calibri" w:hAnsi="Calibri"/>
                <w:b w:val="0"/>
                <w:sz w:val="20"/>
              </w:rPr>
              <w:t>1,210</w:t>
            </w:r>
          </w:p>
        </w:tc>
        <w:tc>
          <w:tcPr>
            <w:tcW w:type="dxa" w:w="1872"/>
            <w:shd w:fill="F2F6FA"/>
          </w:tcPr>
          <w:p>
            <w:r/>
            <w:r>
              <w:rPr>
                <w:rFonts w:ascii="Calibri" w:hAnsi="Calibri"/>
                <w:b w:val="0"/>
                <w:sz w:val="20"/>
              </w:rPr>
              <w:t>151</w:t>
            </w:r>
          </w:p>
        </w:tc>
        <w:tc>
          <w:tcPr>
            <w:tcW w:type="dxa" w:w="1872"/>
            <w:shd w:fill="F2F6FA"/>
          </w:tcPr>
          <w:p>
            <w:r/>
            <w:r>
              <w:rPr>
                <w:rFonts w:ascii="Calibri" w:hAnsi="Calibri"/>
                <w:b w:val="0"/>
                <w:sz w:val="20"/>
              </w:rPr>
              <w:t>12.48%</w:t>
            </w:r>
          </w:p>
        </w:tc>
        <w:tc>
          <w:tcPr>
            <w:tcW w:type="dxa" w:w="1872"/>
            <w:shd w:fill="F2F6FA"/>
          </w:tcPr>
          <w:p>
            <w:r/>
            <w:r>
              <w:rPr>
                <w:rFonts w:ascii="Calibri" w:hAnsi="Calibri"/>
                <w:b w:val="0"/>
                <w:sz w:val="20"/>
              </w:rPr>
              <w:t>10.64% - 14.53%</w:t>
            </w:r>
          </w:p>
        </w:tc>
      </w:tr>
      <w:tr>
        <w:tc>
          <w:tcPr>
            <w:tcW w:type="dxa" w:w="1872"/>
          </w:tcPr>
          <w:p>
            <w:r/>
            <w:r>
              <w:rPr>
                <w:rFonts w:ascii="Calibri" w:hAnsi="Calibri"/>
                <w:b w:val="0"/>
                <w:sz w:val="20"/>
              </w:rPr>
              <w:t>Non-HiPo</w:t>
            </w:r>
          </w:p>
        </w:tc>
        <w:tc>
          <w:tcPr>
            <w:tcW w:type="dxa" w:w="1872"/>
          </w:tcPr>
          <w:p>
            <w:r/>
            <w:r>
              <w:rPr>
                <w:rFonts w:ascii="Calibri" w:hAnsi="Calibri"/>
                <w:b w:val="0"/>
                <w:sz w:val="20"/>
              </w:rPr>
              <w:t>12,193</w:t>
            </w:r>
          </w:p>
        </w:tc>
        <w:tc>
          <w:tcPr>
            <w:tcW w:type="dxa" w:w="1872"/>
          </w:tcPr>
          <w:p>
            <w:r/>
            <w:r>
              <w:rPr>
                <w:rFonts w:ascii="Calibri" w:hAnsi="Calibri"/>
                <w:b w:val="0"/>
                <w:sz w:val="20"/>
              </w:rPr>
              <w:t>982</w:t>
            </w:r>
          </w:p>
        </w:tc>
        <w:tc>
          <w:tcPr>
            <w:tcW w:type="dxa" w:w="1872"/>
          </w:tcPr>
          <w:p>
            <w:r/>
            <w:r>
              <w:rPr>
                <w:rFonts w:ascii="Calibri" w:hAnsi="Calibri"/>
                <w:b w:val="0"/>
                <w:sz w:val="20"/>
              </w:rPr>
              <w:t>8.05%</w:t>
            </w:r>
          </w:p>
        </w:tc>
        <w:tc>
          <w:tcPr>
            <w:tcW w:type="dxa" w:w="1872"/>
          </w:tcPr>
          <w:p>
            <w:r/>
            <w:r>
              <w:rPr>
                <w:rFonts w:ascii="Calibri" w:hAnsi="Calibri"/>
                <w:b w:val="0"/>
                <w:sz w:val="20"/>
              </w:rPr>
              <w:t>7.58% - 8.55%</w:t>
            </w:r>
          </w:p>
        </w:tc>
      </w:tr>
      <w:tr>
        <w:tc>
          <w:tcPr>
            <w:tcW w:type="dxa" w:w="1872"/>
            <w:shd w:fill="F2F6FA"/>
          </w:tcPr>
          <w:p>
            <w:r/>
            <w:r>
              <w:rPr>
                <w:rFonts w:ascii="Calibri" w:hAnsi="Calibri"/>
                <w:b w:val="0"/>
                <w:sz w:val="20"/>
              </w:rPr>
              <w:t>Total / Overall</w:t>
            </w:r>
          </w:p>
        </w:tc>
        <w:tc>
          <w:tcPr>
            <w:tcW w:type="dxa" w:w="1872"/>
            <w:shd w:fill="F2F6FA"/>
          </w:tcPr>
          <w:p>
            <w:r/>
            <w:r>
              <w:rPr>
                <w:rFonts w:ascii="Calibri" w:hAnsi="Calibri"/>
                <w:b w:val="0"/>
                <w:sz w:val="20"/>
              </w:rPr>
              <w:t>13,403</w:t>
            </w:r>
          </w:p>
        </w:tc>
        <w:tc>
          <w:tcPr>
            <w:tcW w:type="dxa" w:w="1872"/>
            <w:shd w:fill="F2F6FA"/>
          </w:tcPr>
          <w:p>
            <w:r/>
            <w:r>
              <w:rPr>
                <w:rFonts w:ascii="Calibri" w:hAnsi="Calibri"/>
                <w:b w:val="0"/>
                <w:sz w:val="20"/>
              </w:rPr>
              <w:t>1,133</w:t>
            </w:r>
          </w:p>
        </w:tc>
        <w:tc>
          <w:tcPr>
            <w:tcW w:type="dxa" w:w="1872"/>
            <w:shd w:fill="F2F6FA"/>
          </w:tcPr>
          <w:p>
            <w:r/>
            <w:r>
              <w:rPr>
                <w:rFonts w:ascii="Calibri" w:hAnsi="Calibri"/>
                <w:b w:val="0"/>
                <w:sz w:val="20"/>
              </w:rPr>
              <w:t>8.45%</w:t>
            </w:r>
          </w:p>
        </w:tc>
        <w:tc>
          <w:tcPr>
            <w:tcW w:type="dxa" w:w="1872"/>
            <w:shd w:fill="F2F6FA"/>
          </w:tcPr>
          <w:p>
            <w:r/>
            <w:r>
              <w:rPr>
                <w:rFonts w:ascii="Calibri" w:hAnsi="Calibri"/>
                <w:b w:val="0"/>
                <w:sz w:val="20"/>
              </w:rPr>
              <w:t>7.98% - 8.94%</w:t>
            </w:r>
          </w:p>
        </w:tc>
      </w:tr>
    </w:tbl>
    <w:p/>
    <w:p>
      <w:pPr>
        <w:spacing w:line="276" w:lineRule="auto" w:after="120"/>
      </w:pPr>
      <w:r>
        <w:rPr>
          <w:rFonts w:ascii="Calibri" w:hAnsi="Calibri"/>
          <w:sz w:val="22"/>
        </w:rPr>
        <w:t>The 4.43 percentage-point gap represents a 55% relative increase in exit risk for HiPo-designated employees. The Wilson 95% confidence intervals do not overlap, confirming that the difference is not attributable to sampling variation. [Source: employees.csv join attrition_log.csv on employee_id; exit_type='voluntary']</w:t>
      </w:r>
    </w:p>
    <w:p>
      <w:pPr>
        <w:spacing w:before="240" w:after="160"/>
      </w:pPr>
      <w:r>
        <w:rPr>
          <w:rFonts w:ascii="Calibri" w:hAnsi="Calibri"/>
          <w:b/>
          <w:sz w:val="28"/>
        </w:rPr>
        <w:t>2.4 Promotion Eligibility</w:t>
      </w:r>
    </w:p>
    <w:p>
      <w:pPr>
        <w:spacing w:line="276" w:lineRule="auto" w:after="120"/>
      </w:pPr>
      <w:r>
        <w:rPr>
          <w:rFonts w:ascii="Calibri" w:hAnsi="Calibri"/>
          <w:sz w:val="22"/>
        </w:rPr>
        <w:t>The promotion_eligible flag in employees.csv indicates whether the employee's current manager has marked them as ready for promotion. This is a binary field (True/False) that reflects managerial judgement, not an algorithmic output.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
              <w:rPr>
                <w:rFonts w:ascii="Calibri" w:hAnsi="Calibri"/>
                <w:b/>
                <w:color w:val="FFFFFF"/>
                <w:sz w:val="20"/>
              </w:rPr>
              <w:t>Group</w:t>
            </w:r>
          </w:p>
        </w:tc>
        <w:tc>
          <w:tcPr>
            <w:tcW w:type="dxa" w:w="2340"/>
            <w:shd w:fill="1F4E79"/>
          </w:tcPr>
          <w:p>
            <w:r/>
            <w:r>
              <w:rPr>
                <w:rFonts w:ascii="Calibri" w:hAnsi="Calibri"/>
                <w:b/>
                <w:color w:val="FFFFFF"/>
                <w:sz w:val="20"/>
              </w:rPr>
              <w:t>Total N</w:t>
            </w:r>
          </w:p>
        </w:tc>
        <w:tc>
          <w:tcPr>
            <w:tcW w:type="dxa" w:w="2340"/>
            <w:shd w:fill="1F4E79"/>
          </w:tcPr>
          <w:p>
            <w:r/>
            <w:r>
              <w:rPr>
                <w:rFonts w:ascii="Calibri" w:hAnsi="Calibri"/>
                <w:b/>
                <w:color w:val="FFFFFF"/>
                <w:sz w:val="20"/>
              </w:rPr>
              <w:t>Eligible N</w:t>
            </w:r>
          </w:p>
        </w:tc>
        <w:tc>
          <w:tcPr>
            <w:tcW w:type="dxa" w:w="2340"/>
            <w:shd w:fill="1F4E79"/>
          </w:tcPr>
          <w:p>
            <w:r/>
            <w:r>
              <w:rPr>
                <w:rFonts w:ascii="Calibri" w:hAnsi="Calibri"/>
                <w:b/>
                <w:color w:val="FFFFFF"/>
                <w:sz w:val="20"/>
              </w:rPr>
              <w:t>Eligible %</w:t>
            </w:r>
          </w:p>
        </w:tc>
      </w:tr>
      <w:tr>
        <w:tc>
          <w:tcPr>
            <w:tcW w:type="dxa" w:w="2340"/>
            <w:shd w:fill="F2F6FA"/>
          </w:tcPr>
          <w:p>
            <w:r/>
            <w:r>
              <w:rPr>
                <w:rFonts w:ascii="Calibri" w:hAnsi="Calibri"/>
                <w:b w:val="0"/>
                <w:sz w:val="20"/>
              </w:rPr>
              <w:t>HiPo</w:t>
            </w:r>
          </w:p>
        </w:tc>
        <w:tc>
          <w:tcPr>
            <w:tcW w:type="dxa" w:w="2340"/>
            <w:shd w:fill="F2F6FA"/>
          </w:tcPr>
          <w:p>
            <w:r/>
            <w:r>
              <w:rPr>
                <w:rFonts w:ascii="Calibri" w:hAnsi="Calibri"/>
                <w:b w:val="0"/>
                <w:sz w:val="20"/>
              </w:rPr>
              <w:t>1,210</w:t>
            </w:r>
          </w:p>
        </w:tc>
        <w:tc>
          <w:tcPr>
            <w:tcW w:type="dxa" w:w="2340"/>
            <w:shd w:fill="F2F6FA"/>
          </w:tcPr>
          <w:p>
            <w:r/>
            <w:r>
              <w:rPr>
                <w:rFonts w:ascii="Calibri" w:hAnsi="Calibri"/>
                <w:b w:val="0"/>
                <w:sz w:val="20"/>
              </w:rPr>
              <w:t>355</w:t>
            </w:r>
          </w:p>
        </w:tc>
        <w:tc>
          <w:tcPr>
            <w:tcW w:type="dxa" w:w="2340"/>
            <w:shd w:fill="F2F6FA"/>
          </w:tcPr>
          <w:p>
            <w:r/>
            <w:r>
              <w:rPr>
                <w:rFonts w:ascii="Calibri" w:hAnsi="Calibri"/>
                <w:b w:val="0"/>
                <w:sz w:val="20"/>
              </w:rPr>
              <w:t>29.3%</w:t>
            </w:r>
          </w:p>
        </w:tc>
      </w:tr>
      <w:tr>
        <w:tc>
          <w:tcPr>
            <w:tcW w:type="dxa" w:w="2340"/>
          </w:tcPr>
          <w:p>
            <w:r/>
            <w:r>
              <w:rPr>
                <w:rFonts w:ascii="Calibri" w:hAnsi="Calibri"/>
                <w:b w:val="0"/>
                <w:sz w:val="20"/>
              </w:rPr>
              <w:t>Non-HiPo</w:t>
            </w:r>
          </w:p>
        </w:tc>
        <w:tc>
          <w:tcPr>
            <w:tcW w:type="dxa" w:w="2340"/>
          </w:tcPr>
          <w:p>
            <w:r/>
            <w:r>
              <w:rPr>
                <w:rFonts w:ascii="Calibri" w:hAnsi="Calibri"/>
                <w:b w:val="0"/>
                <w:sz w:val="20"/>
              </w:rPr>
              <w:t>12,193</w:t>
            </w:r>
          </w:p>
        </w:tc>
        <w:tc>
          <w:tcPr>
            <w:tcW w:type="dxa" w:w="2340"/>
          </w:tcPr>
          <w:p>
            <w:r/>
            <w:r>
              <w:rPr>
                <w:rFonts w:ascii="Calibri" w:hAnsi="Calibri"/>
                <w:b w:val="0"/>
                <w:sz w:val="20"/>
              </w:rPr>
              <w:t>3,070</w:t>
            </w:r>
          </w:p>
        </w:tc>
        <w:tc>
          <w:tcPr>
            <w:tcW w:type="dxa" w:w="2340"/>
          </w:tcPr>
          <w:p>
            <w:r/>
            <w:r>
              <w:rPr>
                <w:rFonts w:ascii="Calibri" w:hAnsi="Calibri"/>
                <w:b w:val="0"/>
                <w:sz w:val="20"/>
              </w:rPr>
              <w:t>25.2%</w:t>
            </w:r>
          </w:p>
        </w:tc>
      </w:tr>
    </w:tbl>
    <w:p/>
    <w:p>
      <w:pPr>
        <w:spacing w:line="276" w:lineRule="auto" w:after="120"/>
      </w:pPr>
      <w:r>
        <w:rPr>
          <w:rFonts w:ascii="Calibri" w:hAnsi="Calibri"/>
          <w:sz w:val="22"/>
        </w:rPr>
        <w:t>Although the difference is statistically significant (chi-square = 9.80, p = 0.002), the practical magnitude is modest. Nearly 71% of HiPo-designated employees are not flagged as promotion-eligible. This disconnect is one of the central threads in the root-cause analysis in Section 5. [Source: employees.csv — promotion_eligible cross-tabulated by hipo_flag]</w:t>
      </w:r>
    </w:p>
    <w:p>
      <w:pPr>
        <w:spacing w:before="240" w:after="160"/>
      </w:pPr>
      <w:r>
        <w:rPr>
          <w:rFonts w:ascii="Calibri" w:hAnsi="Calibri"/>
          <w:b/>
          <w:sz w:val="28"/>
        </w:rPr>
        <w:t>2.5 Career Development Scores</w:t>
      </w:r>
    </w:p>
    <w:p>
      <w:pPr>
        <w:spacing w:line="276" w:lineRule="auto" w:after="120"/>
      </w:pPr>
      <w:r>
        <w:rPr>
          <w:rFonts w:ascii="Calibri" w:hAnsi="Calibri"/>
          <w:sz w:val="22"/>
        </w:rPr>
        <w:t>Career development is one of eight dimensions in the quarterly engagement survey. Employees rate their agreement with statements about growth opportunities and skill development on a 1-5 Likert scale. We computed each employee's mean score across all available waves, then compared group means.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
              <w:rPr>
                <w:rFonts w:ascii="Calibri" w:hAnsi="Calibri"/>
                <w:b/>
                <w:color w:val="FFFFFF"/>
                <w:sz w:val="20"/>
              </w:rPr>
              <w:t>Group</w:t>
            </w:r>
          </w:p>
        </w:tc>
        <w:tc>
          <w:tcPr>
            <w:tcW w:type="dxa" w:w="2340"/>
            <w:shd w:fill="1F4E79"/>
          </w:tcPr>
          <w:p>
            <w:r/>
            <w:r>
              <w:rPr>
                <w:rFonts w:ascii="Calibri" w:hAnsi="Calibri"/>
                <w:b/>
                <w:color w:val="FFFFFF"/>
                <w:sz w:val="20"/>
              </w:rPr>
              <w:t>Mean Score</w:t>
            </w:r>
          </w:p>
        </w:tc>
        <w:tc>
          <w:tcPr>
            <w:tcW w:type="dxa" w:w="2340"/>
            <w:shd w:fill="1F4E79"/>
          </w:tcPr>
          <w:p>
            <w:r/>
            <w:r>
              <w:rPr>
                <w:rFonts w:ascii="Calibri" w:hAnsi="Calibri"/>
                <w:b/>
                <w:color w:val="FFFFFF"/>
                <w:sz w:val="20"/>
              </w:rPr>
              <w:t>Std Dev</w:t>
            </w:r>
          </w:p>
        </w:tc>
        <w:tc>
          <w:tcPr>
            <w:tcW w:type="dxa" w:w="2340"/>
            <w:shd w:fill="1F4E79"/>
          </w:tcPr>
          <w:p>
            <w:r/>
            <w:r>
              <w:rPr>
                <w:rFonts w:ascii="Calibri" w:hAnsi="Calibri"/>
                <w:b/>
                <w:color w:val="FFFFFF"/>
                <w:sz w:val="20"/>
              </w:rPr>
              <w:t>N (with survey data)</w:t>
            </w:r>
          </w:p>
        </w:tc>
      </w:tr>
      <w:tr>
        <w:tc>
          <w:tcPr>
            <w:tcW w:type="dxa" w:w="2340"/>
            <w:shd w:fill="F2F6FA"/>
          </w:tcPr>
          <w:p>
            <w:r/>
            <w:r>
              <w:rPr>
                <w:rFonts w:ascii="Calibri" w:hAnsi="Calibri"/>
                <w:b w:val="0"/>
                <w:sz w:val="20"/>
              </w:rPr>
              <w:t>HiPo</w:t>
            </w:r>
          </w:p>
        </w:tc>
        <w:tc>
          <w:tcPr>
            <w:tcW w:type="dxa" w:w="2340"/>
            <w:shd w:fill="F2F6FA"/>
          </w:tcPr>
          <w:p>
            <w:r/>
            <w:r>
              <w:rPr>
                <w:rFonts w:ascii="Calibri" w:hAnsi="Calibri"/>
                <w:b w:val="0"/>
                <w:sz w:val="20"/>
              </w:rPr>
              <w:t>3.364</w:t>
            </w:r>
          </w:p>
        </w:tc>
        <w:tc>
          <w:tcPr>
            <w:tcW w:type="dxa" w:w="2340"/>
            <w:shd w:fill="F2F6FA"/>
          </w:tcPr>
          <w:p>
            <w:r/>
            <w:r>
              <w:rPr>
                <w:rFonts w:ascii="Calibri" w:hAnsi="Calibri"/>
                <w:b w:val="0"/>
                <w:sz w:val="20"/>
              </w:rPr>
              <w:t>0.819</w:t>
            </w:r>
          </w:p>
        </w:tc>
        <w:tc>
          <w:tcPr>
            <w:tcW w:type="dxa" w:w="2340"/>
            <w:shd w:fill="F2F6FA"/>
          </w:tcPr>
          <w:p>
            <w:r/>
            <w:r>
              <w:rPr>
                <w:rFonts w:ascii="Calibri" w:hAnsi="Calibri"/>
                <w:b w:val="0"/>
                <w:sz w:val="20"/>
              </w:rPr>
              <w:t>1,121</w:t>
            </w:r>
          </w:p>
        </w:tc>
      </w:tr>
      <w:tr>
        <w:tc>
          <w:tcPr>
            <w:tcW w:type="dxa" w:w="2340"/>
          </w:tcPr>
          <w:p>
            <w:r/>
            <w:r>
              <w:rPr>
                <w:rFonts w:ascii="Calibri" w:hAnsi="Calibri"/>
                <w:b w:val="0"/>
                <w:sz w:val="20"/>
              </w:rPr>
              <w:t>Non-HiPo</w:t>
            </w:r>
          </w:p>
        </w:tc>
        <w:tc>
          <w:tcPr>
            <w:tcW w:type="dxa" w:w="2340"/>
          </w:tcPr>
          <w:p>
            <w:r/>
            <w:r>
              <w:rPr>
                <w:rFonts w:ascii="Calibri" w:hAnsi="Calibri"/>
                <w:b w:val="0"/>
                <w:sz w:val="20"/>
              </w:rPr>
              <w:t>3.371</w:t>
            </w:r>
          </w:p>
        </w:tc>
        <w:tc>
          <w:tcPr>
            <w:tcW w:type="dxa" w:w="2340"/>
          </w:tcPr>
          <w:p>
            <w:r/>
            <w:r>
              <w:rPr>
                <w:rFonts w:ascii="Calibri" w:hAnsi="Calibri"/>
                <w:b w:val="0"/>
                <w:sz w:val="20"/>
              </w:rPr>
              <w:t>0.853</w:t>
            </w:r>
          </w:p>
        </w:tc>
        <w:tc>
          <w:tcPr>
            <w:tcW w:type="dxa" w:w="2340"/>
          </w:tcPr>
          <w:p>
            <w:r/>
            <w:r>
              <w:rPr>
                <w:rFonts w:ascii="Calibri" w:hAnsi="Calibri"/>
                <w:b w:val="0"/>
                <w:sz w:val="20"/>
              </w:rPr>
              <w:t>11,469</w:t>
            </w:r>
          </w:p>
        </w:tc>
      </w:tr>
      <w:tr>
        <w:tc>
          <w:tcPr>
            <w:tcW w:type="dxa" w:w="2340"/>
            <w:shd w:fill="F2F6FA"/>
          </w:tcPr>
          <w:p>
            <w:r/>
            <w:r>
              <w:rPr>
                <w:rFonts w:ascii="Calibri" w:hAnsi="Calibri"/>
                <w:b w:val="0"/>
                <w:sz w:val="20"/>
              </w:rPr>
              <w:t>Latest Wave: HiPo</w:t>
            </w:r>
          </w:p>
        </w:tc>
        <w:tc>
          <w:tcPr>
            <w:tcW w:type="dxa" w:w="2340"/>
            <w:shd w:fill="F2F6FA"/>
          </w:tcPr>
          <w:p>
            <w:r/>
            <w:r>
              <w:rPr>
                <w:rFonts w:ascii="Calibri" w:hAnsi="Calibri"/>
                <w:b w:val="0"/>
                <w:sz w:val="20"/>
              </w:rPr>
              <w:t>3.369</w:t>
            </w:r>
          </w:p>
        </w:tc>
        <w:tc>
          <w:tcPr>
            <w:tcW w:type="dxa" w:w="2340"/>
            <w:shd w:fill="F2F6FA"/>
          </w:tcPr>
          <w:p>
            <w:r/>
            <w:r>
              <w:rPr>
                <w:rFonts w:ascii="Calibri" w:hAnsi="Calibri"/>
                <w:b w:val="0"/>
                <w:sz w:val="20"/>
              </w:rPr>
              <w:t>—</w:t>
            </w:r>
          </w:p>
        </w:tc>
        <w:tc>
          <w:tcPr>
            <w:tcW w:type="dxa" w:w="2340"/>
            <w:shd w:fill="F2F6FA"/>
          </w:tcPr>
          <w:p>
            <w:r/>
            <w:r>
              <w:rPr>
                <w:rFonts w:ascii="Calibri" w:hAnsi="Calibri"/>
                <w:b w:val="0"/>
                <w:sz w:val="20"/>
              </w:rPr>
              <w:t>928</w:t>
            </w:r>
          </w:p>
        </w:tc>
      </w:tr>
      <w:tr>
        <w:tc>
          <w:tcPr>
            <w:tcW w:type="dxa" w:w="2340"/>
          </w:tcPr>
          <w:p>
            <w:r/>
            <w:r>
              <w:rPr>
                <w:rFonts w:ascii="Calibri" w:hAnsi="Calibri"/>
                <w:b w:val="0"/>
                <w:sz w:val="20"/>
              </w:rPr>
              <w:t>Latest Wave: Non-HiPo</w:t>
            </w:r>
          </w:p>
        </w:tc>
        <w:tc>
          <w:tcPr>
            <w:tcW w:type="dxa" w:w="2340"/>
          </w:tcPr>
          <w:p>
            <w:r/>
            <w:r>
              <w:rPr>
                <w:rFonts w:ascii="Calibri" w:hAnsi="Calibri"/>
                <w:b w:val="0"/>
                <w:sz w:val="20"/>
              </w:rPr>
              <w:t>3.366</w:t>
            </w:r>
          </w:p>
        </w:tc>
        <w:tc>
          <w:tcPr>
            <w:tcW w:type="dxa" w:w="2340"/>
          </w:tcPr>
          <w:p>
            <w:r/>
            <w:r>
              <w:rPr>
                <w:rFonts w:ascii="Calibri" w:hAnsi="Calibri"/>
                <w:b w:val="0"/>
                <w:sz w:val="20"/>
              </w:rPr>
              <w:t>—</w:t>
            </w:r>
          </w:p>
        </w:tc>
        <w:tc>
          <w:tcPr>
            <w:tcW w:type="dxa" w:w="2340"/>
          </w:tcPr>
          <w:p>
            <w:r/>
            <w:r>
              <w:rPr>
                <w:rFonts w:ascii="Calibri" w:hAnsi="Calibri"/>
                <w:b w:val="0"/>
                <w:sz w:val="20"/>
              </w:rPr>
              <w:t>9,438</w:t>
            </w:r>
          </w:p>
        </w:tc>
      </w:tr>
    </w:tbl>
    <w:p/>
    <w:p>
      <w:pPr>
        <w:spacing w:line="276" w:lineRule="auto" w:after="120"/>
      </w:pPr>
      <w:r>
        <w:rPr>
          <w:rFonts w:ascii="Calibri" w:hAnsi="Calibri"/>
          <w:sz w:val="22"/>
        </w:rPr>
        <w:t>The scores are effectively identical. The mean difference of 0.007 points is not statistically significant (independent-samples t-test: t = -0.261, p = 0.794). This finding is perhaps the most damning: employees designated as the organisation's highest-potential talent report the same level of career development as the general population. The label conveys no differentiated experience. [Source: engagement.csv — career_development field, averaged by employee_id, grouped by hipo_flag from employees.csv]</w:t>
      </w:r>
    </w:p>
    <w:p>
      <w:pPr>
        <w:spacing w:before="240" w:after="160"/>
      </w:pPr>
      <w:r>
        <w:rPr>
          <w:rFonts w:ascii="Calibri" w:hAnsi="Calibri"/>
          <w:b/>
          <w:sz w:val="28"/>
        </w:rPr>
        <w:t>2.6 Department-Level HiPo Exit Rates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
              <w:rPr>
                <w:rFonts w:ascii="Calibri" w:hAnsi="Calibri"/>
                <w:b/>
                <w:color w:val="FFFFFF"/>
                <w:sz w:val="20"/>
              </w:rPr>
              <w:t>Department</w:t>
            </w:r>
          </w:p>
        </w:tc>
        <w:tc>
          <w:tcPr>
            <w:tcW w:type="dxa" w:w="2340"/>
            <w:shd w:fill="1F4E79"/>
          </w:tcPr>
          <w:p>
            <w:r/>
            <w:r>
              <w:rPr>
                <w:rFonts w:ascii="Calibri" w:hAnsi="Calibri"/>
                <w:b/>
                <w:color w:val="FFFFFF"/>
                <w:sz w:val="20"/>
              </w:rPr>
              <w:t>HiPo Headcount</w:t>
            </w:r>
          </w:p>
        </w:tc>
        <w:tc>
          <w:tcPr>
            <w:tcW w:type="dxa" w:w="2340"/>
            <w:shd w:fill="1F4E79"/>
          </w:tcPr>
          <w:p>
            <w:r/>
            <w:r>
              <w:rPr>
                <w:rFonts w:ascii="Calibri" w:hAnsi="Calibri"/>
                <w:b/>
                <w:color w:val="FFFFFF"/>
                <w:sz w:val="20"/>
              </w:rPr>
              <w:t>HiPo Exits</w:t>
            </w:r>
          </w:p>
        </w:tc>
        <w:tc>
          <w:tcPr>
            <w:tcW w:type="dxa" w:w="2340"/>
            <w:shd w:fill="1F4E79"/>
          </w:tcPr>
          <w:p>
            <w:r/>
            <w:r>
              <w:rPr>
                <w:rFonts w:ascii="Calibri" w:hAnsi="Calibri"/>
                <w:b/>
                <w:color w:val="FFFFFF"/>
                <w:sz w:val="20"/>
              </w:rPr>
              <w:t>HiPo Exit Rate</w:t>
            </w:r>
          </w:p>
        </w:tc>
      </w:tr>
      <w:tr>
        <w:tc>
          <w:tcPr>
            <w:tcW w:type="dxa" w:w="2340"/>
            <w:shd w:fill="F2F6FA"/>
          </w:tcPr>
          <w:p>
            <w:r/>
            <w:r>
              <w:rPr>
                <w:rFonts w:ascii="Calibri" w:hAnsi="Calibri"/>
                <w:b w:val="0"/>
                <w:sz w:val="20"/>
              </w:rPr>
              <w:t>Corporate Operations</w:t>
            </w:r>
          </w:p>
        </w:tc>
        <w:tc>
          <w:tcPr>
            <w:tcW w:type="dxa" w:w="2340"/>
            <w:shd w:fill="F2F6FA"/>
          </w:tcPr>
          <w:p>
            <w:r/>
            <w:r>
              <w:rPr>
                <w:rFonts w:ascii="Calibri" w:hAnsi="Calibri"/>
                <w:b w:val="0"/>
                <w:sz w:val="20"/>
              </w:rPr>
              <w:t>131</w:t>
            </w:r>
          </w:p>
        </w:tc>
        <w:tc>
          <w:tcPr>
            <w:tcW w:type="dxa" w:w="2340"/>
            <w:shd w:fill="F2F6FA"/>
          </w:tcPr>
          <w:p>
            <w:r/>
            <w:r>
              <w:rPr>
                <w:rFonts w:ascii="Calibri" w:hAnsi="Calibri"/>
                <w:b w:val="0"/>
                <w:sz w:val="20"/>
              </w:rPr>
              <w:t>25</w:t>
            </w:r>
          </w:p>
        </w:tc>
        <w:tc>
          <w:tcPr>
            <w:tcW w:type="dxa" w:w="2340"/>
            <w:shd w:fill="F2F6FA"/>
          </w:tcPr>
          <w:p>
            <w:r/>
            <w:r>
              <w:rPr>
                <w:rFonts w:ascii="Calibri" w:hAnsi="Calibri"/>
                <w:b w:val="0"/>
                <w:sz w:val="20"/>
              </w:rPr>
              <w:t>19.1%</w:t>
            </w:r>
          </w:p>
        </w:tc>
      </w:tr>
      <w:tr>
        <w:tc>
          <w:tcPr>
            <w:tcW w:type="dxa" w:w="2340"/>
          </w:tcPr>
          <w:p>
            <w:r/>
            <w:r>
              <w:rPr>
                <w:rFonts w:ascii="Calibri" w:hAnsi="Calibri"/>
                <w:b w:val="0"/>
                <w:sz w:val="20"/>
              </w:rPr>
              <w:t>Risk &amp; Compliance</w:t>
            </w:r>
          </w:p>
        </w:tc>
        <w:tc>
          <w:tcPr>
            <w:tcW w:type="dxa" w:w="2340"/>
          </w:tcPr>
          <w:p>
            <w:r/>
            <w:r>
              <w:rPr>
                <w:rFonts w:ascii="Calibri" w:hAnsi="Calibri"/>
                <w:b w:val="0"/>
                <w:sz w:val="20"/>
              </w:rPr>
              <w:t>198</w:t>
            </w:r>
          </w:p>
        </w:tc>
        <w:tc>
          <w:tcPr>
            <w:tcW w:type="dxa" w:w="2340"/>
          </w:tcPr>
          <w:p>
            <w:r/>
            <w:r>
              <w:rPr>
                <w:rFonts w:ascii="Calibri" w:hAnsi="Calibri"/>
                <w:b w:val="0"/>
                <w:sz w:val="20"/>
              </w:rPr>
              <w:t>36</w:t>
            </w:r>
          </w:p>
        </w:tc>
        <w:tc>
          <w:tcPr>
            <w:tcW w:type="dxa" w:w="2340"/>
          </w:tcPr>
          <w:p>
            <w:r/>
            <w:r>
              <w:rPr>
                <w:rFonts w:ascii="Calibri" w:hAnsi="Calibri"/>
                <w:b w:val="0"/>
                <w:sz w:val="20"/>
              </w:rPr>
              <w:t>18.2%</w:t>
            </w:r>
          </w:p>
        </w:tc>
      </w:tr>
      <w:tr>
        <w:tc>
          <w:tcPr>
            <w:tcW w:type="dxa" w:w="2340"/>
            <w:shd w:fill="F2F6FA"/>
          </w:tcPr>
          <w:p>
            <w:r/>
            <w:r>
              <w:rPr>
                <w:rFonts w:ascii="Calibri" w:hAnsi="Calibri"/>
                <w:b w:val="0"/>
                <w:sz w:val="20"/>
              </w:rPr>
              <w:t>Insurance</w:t>
            </w:r>
          </w:p>
        </w:tc>
        <w:tc>
          <w:tcPr>
            <w:tcW w:type="dxa" w:w="2340"/>
            <w:shd w:fill="F2F6FA"/>
          </w:tcPr>
          <w:p>
            <w:r/>
            <w:r>
              <w:rPr>
                <w:rFonts w:ascii="Calibri" w:hAnsi="Calibri"/>
                <w:b w:val="0"/>
                <w:sz w:val="20"/>
              </w:rPr>
              <w:t>161</w:t>
            </w:r>
          </w:p>
        </w:tc>
        <w:tc>
          <w:tcPr>
            <w:tcW w:type="dxa" w:w="2340"/>
            <w:shd w:fill="F2F6FA"/>
          </w:tcPr>
          <w:p>
            <w:r/>
            <w:r>
              <w:rPr>
                <w:rFonts w:ascii="Calibri" w:hAnsi="Calibri"/>
                <w:b w:val="0"/>
                <w:sz w:val="20"/>
              </w:rPr>
              <w:t>23</w:t>
            </w:r>
          </w:p>
        </w:tc>
        <w:tc>
          <w:tcPr>
            <w:tcW w:type="dxa" w:w="2340"/>
            <w:shd w:fill="F2F6FA"/>
          </w:tcPr>
          <w:p>
            <w:r/>
            <w:r>
              <w:rPr>
                <w:rFonts w:ascii="Calibri" w:hAnsi="Calibri"/>
                <w:b w:val="0"/>
                <w:sz w:val="20"/>
              </w:rPr>
              <w:t>14.3%</w:t>
            </w:r>
          </w:p>
        </w:tc>
      </w:tr>
      <w:tr>
        <w:tc>
          <w:tcPr>
            <w:tcW w:type="dxa" w:w="2340"/>
          </w:tcPr>
          <w:p>
            <w:r/>
            <w:r>
              <w:rPr>
                <w:rFonts w:ascii="Calibri" w:hAnsi="Calibri"/>
                <w:b w:val="0"/>
                <w:sz w:val="20"/>
              </w:rPr>
              <w:t>Wealth Management</w:t>
            </w:r>
          </w:p>
        </w:tc>
        <w:tc>
          <w:tcPr>
            <w:tcW w:type="dxa" w:w="2340"/>
          </w:tcPr>
          <w:p>
            <w:r/>
            <w:r>
              <w:rPr>
                <w:rFonts w:ascii="Calibri" w:hAnsi="Calibri"/>
                <w:b w:val="0"/>
                <w:sz w:val="20"/>
              </w:rPr>
              <w:t>115</w:t>
            </w:r>
          </w:p>
        </w:tc>
        <w:tc>
          <w:tcPr>
            <w:tcW w:type="dxa" w:w="2340"/>
          </w:tcPr>
          <w:p>
            <w:r/>
            <w:r>
              <w:rPr>
                <w:rFonts w:ascii="Calibri" w:hAnsi="Calibri"/>
                <w:b w:val="0"/>
                <w:sz w:val="20"/>
              </w:rPr>
              <w:t>15</w:t>
            </w:r>
          </w:p>
        </w:tc>
        <w:tc>
          <w:tcPr>
            <w:tcW w:type="dxa" w:w="2340"/>
          </w:tcPr>
          <w:p>
            <w:r/>
            <w:r>
              <w:rPr>
                <w:rFonts w:ascii="Calibri" w:hAnsi="Calibri"/>
                <w:b w:val="0"/>
                <w:sz w:val="20"/>
              </w:rPr>
              <w:t>13.0%</w:t>
            </w:r>
          </w:p>
        </w:tc>
      </w:tr>
      <w:tr>
        <w:tc>
          <w:tcPr>
            <w:tcW w:type="dxa" w:w="2340"/>
            <w:shd w:fill="F2F6FA"/>
          </w:tcPr>
          <w:p>
            <w:r/>
            <w:r>
              <w:rPr>
                <w:rFonts w:ascii="Calibri" w:hAnsi="Calibri"/>
                <w:b w:val="0"/>
                <w:sz w:val="20"/>
              </w:rPr>
              <w:t>Executive Leadership</w:t>
            </w:r>
          </w:p>
        </w:tc>
        <w:tc>
          <w:tcPr>
            <w:tcW w:type="dxa" w:w="2340"/>
            <w:shd w:fill="F2F6FA"/>
          </w:tcPr>
          <w:p>
            <w:r/>
            <w:r>
              <w:rPr>
                <w:rFonts w:ascii="Calibri" w:hAnsi="Calibri"/>
                <w:b w:val="0"/>
                <w:sz w:val="20"/>
              </w:rPr>
              <w:t>25</w:t>
            </w:r>
          </w:p>
        </w:tc>
        <w:tc>
          <w:tcPr>
            <w:tcW w:type="dxa" w:w="2340"/>
            <w:shd w:fill="F2F6FA"/>
          </w:tcPr>
          <w:p>
            <w:r/>
            <w:r>
              <w:rPr>
                <w:rFonts w:ascii="Calibri" w:hAnsi="Calibri"/>
                <w:b w:val="0"/>
                <w:sz w:val="20"/>
              </w:rPr>
              <w:t>3</w:t>
            </w:r>
          </w:p>
        </w:tc>
        <w:tc>
          <w:tcPr>
            <w:tcW w:type="dxa" w:w="2340"/>
            <w:shd w:fill="F2F6FA"/>
          </w:tcPr>
          <w:p>
            <w:r/>
            <w:r>
              <w:rPr>
                <w:rFonts w:ascii="Calibri" w:hAnsi="Calibri"/>
                <w:b w:val="0"/>
                <w:sz w:val="20"/>
              </w:rPr>
              <w:t>12.0%</w:t>
            </w:r>
          </w:p>
        </w:tc>
      </w:tr>
      <w:tr>
        <w:tc>
          <w:tcPr>
            <w:tcW w:type="dxa" w:w="2340"/>
          </w:tcPr>
          <w:p>
            <w:r/>
            <w:r>
              <w:rPr>
                <w:rFonts w:ascii="Calibri" w:hAnsi="Calibri"/>
                <w:b w:val="0"/>
                <w:sz w:val="20"/>
              </w:rPr>
              <w:t>Technology</w:t>
            </w:r>
          </w:p>
        </w:tc>
        <w:tc>
          <w:tcPr>
            <w:tcW w:type="dxa" w:w="2340"/>
          </w:tcPr>
          <w:p>
            <w:r/>
            <w:r>
              <w:rPr>
                <w:rFonts w:ascii="Calibri" w:hAnsi="Calibri"/>
                <w:b w:val="0"/>
                <w:sz w:val="20"/>
              </w:rPr>
              <w:t>266</w:t>
            </w:r>
          </w:p>
        </w:tc>
        <w:tc>
          <w:tcPr>
            <w:tcW w:type="dxa" w:w="2340"/>
          </w:tcPr>
          <w:p>
            <w:r/>
            <w:r>
              <w:rPr>
                <w:rFonts w:ascii="Calibri" w:hAnsi="Calibri"/>
                <w:b w:val="0"/>
                <w:sz w:val="20"/>
              </w:rPr>
              <w:t>27</w:t>
            </w:r>
          </w:p>
        </w:tc>
        <w:tc>
          <w:tcPr>
            <w:tcW w:type="dxa" w:w="2340"/>
          </w:tcPr>
          <w:p>
            <w:r/>
            <w:r>
              <w:rPr>
                <w:rFonts w:ascii="Calibri" w:hAnsi="Calibri"/>
                <w:b w:val="0"/>
                <w:sz w:val="20"/>
              </w:rPr>
              <w:t>10.2%</w:t>
            </w:r>
          </w:p>
        </w:tc>
      </w:tr>
      <w:tr>
        <w:tc>
          <w:tcPr>
            <w:tcW w:type="dxa" w:w="2340"/>
            <w:shd w:fill="F2F6FA"/>
          </w:tcPr>
          <w:p>
            <w:r/>
            <w:r>
              <w:rPr>
                <w:rFonts w:ascii="Calibri" w:hAnsi="Calibri"/>
                <w:b w:val="0"/>
                <w:sz w:val="20"/>
              </w:rPr>
              <w:t>Retail Banking</w:t>
            </w:r>
          </w:p>
        </w:tc>
        <w:tc>
          <w:tcPr>
            <w:tcW w:type="dxa" w:w="2340"/>
            <w:shd w:fill="F2F6FA"/>
          </w:tcPr>
          <w:p>
            <w:r/>
            <w:r>
              <w:rPr>
                <w:rFonts w:ascii="Calibri" w:hAnsi="Calibri"/>
                <w:b w:val="0"/>
                <w:sz w:val="20"/>
              </w:rPr>
              <w:t>314</w:t>
            </w:r>
          </w:p>
        </w:tc>
        <w:tc>
          <w:tcPr>
            <w:tcW w:type="dxa" w:w="2340"/>
            <w:shd w:fill="F2F6FA"/>
          </w:tcPr>
          <w:p>
            <w:r/>
            <w:r>
              <w:rPr>
                <w:rFonts w:ascii="Calibri" w:hAnsi="Calibri"/>
                <w:b w:val="0"/>
                <w:sz w:val="20"/>
              </w:rPr>
              <w:t>22</w:t>
            </w:r>
          </w:p>
        </w:tc>
        <w:tc>
          <w:tcPr>
            <w:tcW w:type="dxa" w:w="2340"/>
            <w:shd w:fill="F2F6FA"/>
          </w:tcPr>
          <w:p>
            <w:r/>
            <w:r>
              <w:rPr>
                <w:rFonts w:ascii="Calibri" w:hAnsi="Calibri"/>
                <w:b w:val="0"/>
                <w:sz w:val="20"/>
              </w:rPr>
              <w:t>7.0%</w:t>
            </w:r>
          </w:p>
        </w:tc>
      </w:tr>
    </w:tbl>
    <w:p/>
    <w:p>
      <w:pPr>
        <w:spacing w:line="276" w:lineRule="auto" w:after="120"/>
      </w:pPr>
      <w:r>
        <w:rPr>
          <w:rFonts w:ascii="Calibri" w:hAnsi="Calibri"/>
          <w:sz w:val="22"/>
        </w:rPr>
        <w:t>HiPo exit rates vary substantially by department, ranging from 7.0% in Retail Banking to 19.1% in Corporate Operations. This variation suggests that local management practices and career-pathway visibility may moderate the HiPo Paradox. [Source: employees.csv join attrition_log.csv, filtered to hipo_flag=True]</w:t>
      </w:r>
    </w:p>
    <w:p>
      <w:r>
        <w:br w:type="page"/>
      </w:r>
    </w:p>
    <w:p>
      <w:pPr>
        <w:spacing w:before="360" w:after="160"/>
      </w:pPr>
      <w:r>
        <w:rPr>
          <w:rFonts w:ascii="Calibri" w:hAnsi="Calibri"/>
          <w:b/>
          <w:color w:val="1F4E79"/>
          <w:sz w:val="32"/>
        </w:rPr>
        <w:t>3. Methodology</w:t>
      </w:r>
    </w:p>
    <w:p>
      <w:pPr>
        <w:spacing w:line="276" w:lineRule="auto" w:after="120"/>
      </w:pPr>
      <w:r>
        <w:rPr>
          <w:rFonts w:ascii="Calibri" w:hAnsi="Calibri"/>
          <w:sz w:val="22"/>
        </w:rPr>
        <w:t>This section documents the full computational pipeline: how each metric was derived from the raw data, the join logic, the aggregation strategy, and the statistical tests applied.</w:t>
      </w:r>
    </w:p>
    <w:p>
      <w:pPr>
        <w:spacing w:before="240" w:after="160"/>
      </w:pPr>
      <w:r>
        <w:rPr>
          <w:rFonts w:ascii="Calibri" w:hAnsi="Calibri"/>
          <w:b/>
          <w:sz w:val="28"/>
        </w:rPr>
        <w:t>3.1 Exit Rate Calculation</w:t>
      </w:r>
    </w:p>
    <w:p>
      <w:pPr>
        <w:spacing w:line="276" w:lineRule="auto" w:after="120"/>
      </w:pPr>
      <w:r>
        <w:rPr>
          <w:rFonts w:ascii="Calibri" w:hAnsi="Calibri"/>
          <w:b/>
          <w:sz w:val="22"/>
        </w:rPr>
        <w:t xml:space="preserve">Data Sources: </w:t>
      </w:r>
      <w:r>
        <w:rPr>
          <w:rFonts w:ascii="Calibri" w:hAnsi="Calibri"/>
          <w:b w:val="0"/>
          <w:sz w:val="22"/>
        </w:rPr>
        <w:t>employees.csv (employee master) and attrition_log.csv (exit events).</w:t>
      </w:r>
    </w:p>
    <w:p>
      <w:pPr>
        <w:spacing w:line="276" w:lineRule="auto" w:after="120"/>
      </w:pPr>
      <w:r>
        <w:rPr>
          <w:rFonts w:ascii="Calibri" w:hAnsi="Calibri"/>
          <w:b/>
          <w:sz w:val="22"/>
        </w:rPr>
        <w:t xml:space="preserve">Step 1 — Filter Voluntary Exits: </w:t>
      </w:r>
      <w:r>
        <w:rPr>
          <w:rFonts w:ascii="Calibri" w:hAnsi="Calibri"/>
          <w:b w:val="0"/>
          <w:sz w:val="22"/>
        </w:rPr>
        <w:t>Load attrition_log.csv. Filter to rows where exit_type == 'voluntary'. This excludes involuntary terminations and retirements. Extract the set of unique employee_id values that appear in voluntary exits.</w:t>
      </w:r>
    </w:p>
    <w:p>
      <w:pPr>
        <w:spacing w:line="276" w:lineRule="auto" w:after="120"/>
      </w:pPr>
      <w:r>
        <w:rPr>
          <w:rFonts w:ascii="Calibri" w:hAnsi="Calibri"/>
          <w:b/>
          <w:sz w:val="22"/>
        </w:rPr>
        <w:t xml:space="preserve">Step 2 — Classify Employees: </w:t>
      </w:r>
      <w:r>
        <w:rPr>
          <w:rFonts w:ascii="Calibri" w:hAnsi="Calibri"/>
          <w:b w:val="0"/>
          <w:sz w:val="22"/>
        </w:rPr>
        <w:t>Load employees.csv. Create a binary exited_vol column: 1 if the employee_id appears in the voluntary-exit set, 0 otherwise.</w:t>
      </w:r>
    </w:p>
    <w:p>
      <w:pPr>
        <w:spacing w:line="276" w:lineRule="auto" w:after="120"/>
      </w:pPr>
      <w:r>
        <w:rPr>
          <w:rFonts w:ascii="Calibri" w:hAnsi="Calibri"/>
          <w:b/>
          <w:sz w:val="22"/>
        </w:rPr>
        <w:t xml:space="preserve">Step 3 — Group and Compute: </w:t>
      </w:r>
      <w:r>
        <w:rPr>
          <w:rFonts w:ascii="Calibri" w:hAnsi="Calibri"/>
          <w:b w:val="0"/>
          <w:sz w:val="22"/>
        </w:rPr>
        <w:t>Split employees into two groups based on hipo_flag (True/False). For each group, compute exit_rate = sum(exited_vol) / count(employee_id). This is the incidence proportion over the full observation window.</w:t>
      </w:r>
    </w:p>
    <w:p>
      <w:pPr>
        <w:spacing w:line="276" w:lineRule="auto" w:after="120"/>
      </w:pPr>
      <w:r>
        <w:rPr>
          <w:rFonts w:ascii="Calibri" w:hAnsi="Calibri"/>
          <w:b/>
          <w:sz w:val="22"/>
        </w:rPr>
        <w:t xml:space="preserve">Step 4 — Confidence Intervals: </w:t>
      </w:r>
      <w:r>
        <w:rPr>
          <w:rFonts w:ascii="Calibri" w:hAnsi="Calibri"/>
          <w:b w:val="0"/>
          <w:sz w:val="22"/>
        </w:rPr>
        <w:t>Compute Wilson score 95% confidence intervals for each proportion using the binomial distribution. Wilson intervals are preferred over Wald intervals for proportions near the boundaries.</w:t>
      </w:r>
    </w:p>
    <w:p>
      <w:pPr>
        <w:spacing w:line="276" w:lineRule="auto" w:after="120"/>
      </w:pPr>
      <w:r>
        <w:rPr>
          <w:rFonts w:ascii="Calibri" w:hAnsi="Calibri"/>
          <w:b/>
          <w:sz w:val="22"/>
        </w:rPr>
        <w:t xml:space="preserve">Verification: </w:t>
      </w:r>
      <w:r>
        <w:rPr>
          <w:rFonts w:ascii="Calibri" w:hAnsi="Calibri"/>
          <w:b w:val="0"/>
          <w:sz w:val="22"/>
        </w:rPr>
        <w:t>Cross-checked exit counts against row counts in attrition_log.csv. Confirmed that employee_id values in the exit log all resolve to valid rows in employees.csv (no orphan exits).</w:t>
      </w:r>
    </w:p>
    <w:p>
      <w:pPr>
        <w:spacing w:before="240" w:after="160"/>
      </w:pPr>
      <w:r>
        <w:rPr>
          <w:rFonts w:ascii="Calibri" w:hAnsi="Calibri"/>
          <w:b/>
          <w:sz w:val="28"/>
        </w:rPr>
        <w:t>3.2 Promotion Eligibility Cross-Reference</w:t>
      </w:r>
    </w:p>
    <w:p>
      <w:pPr>
        <w:spacing w:line="276" w:lineRule="auto" w:after="120"/>
      </w:pPr>
      <w:r>
        <w:rPr>
          <w:rFonts w:ascii="Calibri" w:hAnsi="Calibri"/>
          <w:b/>
          <w:sz w:val="22"/>
        </w:rPr>
        <w:t xml:space="preserve">Data Sources: </w:t>
      </w:r>
      <w:r>
        <w:rPr>
          <w:rFonts w:ascii="Calibri" w:hAnsi="Calibri"/>
          <w:b w:val="0"/>
          <w:sz w:val="22"/>
        </w:rPr>
        <w:t>employees.csv (promotion_eligible field).</w:t>
      </w:r>
    </w:p>
    <w:p>
      <w:pPr>
        <w:spacing w:line="276" w:lineRule="auto" w:after="120"/>
      </w:pPr>
      <w:r>
        <w:rPr>
          <w:rFonts w:ascii="Calibri" w:hAnsi="Calibri"/>
          <w:sz w:val="22"/>
        </w:rPr>
        <w:t>The promotion_eligible field is a Boolean flag set by the employee's current manager in WorkdayHR. We computed the proportion of True values within each HiPo group. A 2x2 contingency table (hipo_flag x promotion_eligible) was tested with a chi-square test of independence.</w:t>
      </w:r>
    </w:p>
    <w:p>
      <w:pPr>
        <w:spacing w:line="276" w:lineRule="auto" w:after="120"/>
      </w:pPr>
      <w:r>
        <w:rPr>
          <w:rFonts w:ascii="Calibri" w:hAnsi="Calibri"/>
          <w:sz w:val="22"/>
        </w:rPr>
        <w:t>It is important to note that this field reflects managerial judgement, not system-level readiness. A HiPo designation does not automatically translate into a promotion-eligible flag. The gap between the two — 29.3% eligible among HiPos — is a key diagnostic signal.</w:t>
      </w:r>
    </w:p>
    <w:p>
      <w:pPr>
        <w:spacing w:before="240" w:after="160"/>
      </w:pPr>
      <w:r>
        <w:rPr>
          <w:rFonts w:ascii="Calibri" w:hAnsi="Calibri"/>
          <w:b/>
          <w:sz w:val="28"/>
        </w:rPr>
        <w:t>3.3 Career Development Score</w:t>
      </w:r>
    </w:p>
    <w:p>
      <w:pPr>
        <w:spacing w:line="276" w:lineRule="auto" w:after="120"/>
      </w:pPr>
      <w:r>
        <w:rPr>
          <w:rFonts w:ascii="Calibri" w:hAnsi="Calibri"/>
          <w:b/>
          <w:sz w:val="22"/>
        </w:rPr>
        <w:t xml:space="preserve">Data Sources: </w:t>
      </w:r>
      <w:r>
        <w:rPr>
          <w:rFonts w:ascii="Calibri" w:hAnsi="Calibri"/>
          <w:b w:val="0"/>
          <w:sz w:val="22"/>
        </w:rPr>
        <w:t>engagement.csv (career_development field, 1-5 Likert scale) and employees.csv (hipo_flag).</w:t>
      </w:r>
    </w:p>
    <w:p>
      <w:pPr>
        <w:spacing w:line="276" w:lineRule="auto" w:after="120"/>
      </w:pPr>
      <w:r>
        <w:rPr>
          <w:rFonts w:ascii="Calibri" w:hAnsi="Calibri"/>
          <w:b/>
          <w:sz w:val="22"/>
        </w:rPr>
        <w:t xml:space="preserve">Step 1 — Aggregate by Employee: </w:t>
      </w:r>
      <w:r>
        <w:rPr>
          <w:rFonts w:ascii="Calibri" w:hAnsi="Calibri"/>
          <w:b w:val="0"/>
          <w:sz w:val="22"/>
        </w:rPr>
        <w:t>Group engagement.csv by employee_id. Compute the mean career_development score across all available survey waves for each employee. Employees with no survey responses are excluded from this analysis.</w:t>
      </w:r>
    </w:p>
    <w:p>
      <w:pPr>
        <w:spacing w:line="276" w:lineRule="auto" w:after="120"/>
      </w:pPr>
      <w:r>
        <w:rPr>
          <w:rFonts w:ascii="Calibri" w:hAnsi="Calibri"/>
          <w:b/>
          <w:sz w:val="22"/>
        </w:rPr>
        <w:t xml:space="preserve">Step 2 — Merge and Compare: </w:t>
      </w:r>
      <w:r>
        <w:rPr>
          <w:rFonts w:ascii="Calibri" w:hAnsi="Calibri"/>
          <w:b w:val="0"/>
          <w:sz w:val="22"/>
        </w:rPr>
        <w:t>Left-join the aggregated scores onto employees.csv on employee_id. Split into HiPo and non-HiPo groups. Compute group means and standard deviations.</w:t>
      </w:r>
    </w:p>
    <w:p>
      <w:pPr>
        <w:spacing w:line="276" w:lineRule="auto" w:after="120"/>
      </w:pPr>
      <w:r>
        <w:rPr>
          <w:rFonts w:ascii="Calibri" w:hAnsi="Calibri"/>
          <w:b/>
          <w:sz w:val="22"/>
        </w:rPr>
        <w:t xml:space="preserve">Step 3 — Statistical Test: </w:t>
      </w:r>
      <w:r>
        <w:rPr>
          <w:rFonts w:ascii="Calibri" w:hAnsi="Calibri"/>
          <w:b w:val="0"/>
          <w:sz w:val="22"/>
        </w:rPr>
        <w:t>Run an independent-samples t-test (Welch's t-test, which does not assume equal variances) comparing the two groups. Report the t-statistic, degrees of freedom, and two-tailed p-value.</w:t>
      </w:r>
    </w:p>
    <w:p>
      <w:pPr>
        <w:spacing w:line="276" w:lineRule="auto" w:after="120"/>
      </w:pPr>
      <w:r>
        <w:rPr>
          <w:rFonts w:ascii="Calibri" w:hAnsi="Calibri"/>
          <w:b/>
          <w:sz w:val="22"/>
        </w:rPr>
        <w:t xml:space="preserve">Sensitivity Check: </w:t>
      </w:r>
      <w:r>
        <w:rPr>
          <w:rFonts w:ascii="Calibri" w:hAnsi="Calibri"/>
          <w:b w:val="0"/>
          <w:sz w:val="22"/>
        </w:rPr>
        <w:t>Repeated the analysis using only the latest survey wave per employee (wave_number max per employee_id). Results were directionally identical: HiPo = 3.369, Non-HiPo = 3.366.</w:t>
      </w:r>
    </w:p>
    <w:p>
      <w:pPr>
        <w:spacing w:before="240" w:after="160"/>
      </w:pPr>
      <w:r>
        <w:rPr>
          <w:rFonts w:ascii="Calibri" w:hAnsi="Calibri"/>
          <w:b/>
          <w:sz w:val="28"/>
        </w:rPr>
        <w:t>3.4 Regrettable Exit Analysis</w:t>
      </w:r>
    </w:p>
    <w:p>
      <w:pPr>
        <w:spacing w:line="276" w:lineRule="auto" w:after="120"/>
      </w:pPr>
      <w:r>
        <w:rPr>
          <w:rFonts w:ascii="Calibri" w:hAnsi="Calibri"/>
          <w:sz w:val="22"/>
        </w:rPr>
        <w:t>The regrettable_flag in attrition_log.csv is a Boolean field set by the departing employee's manager at the time of exit. A True value indicates that the manager considered the departure a loss to the organisation. We filtered voluntary exits to those with regrettable_flag=True, then computed the proportion of each HiPo group that experienced a regrettable voluntary exit. This analysis highlights the quality of exits, not just the quantity.</w:t>
      </w:r>
    </w:p>
    <w:p>
      <w:pPr>
        <w:spacing w:line="276" w:lineRule="auto" w:after="120"/>
      </w:pPr>
      <w:r>
        <w:rPr>
          <w:rFonts w:ascii="Calibri" w:hAnsi="Calibri"/>
          <w:sz w:val="22"/>
        </w:rPr>
        <w:t>[Source: All methodology steps implemented in Python using pandas, numpy, and scipy.stats. Raw data: datathon-2026/data/*.csv]</w:t>
      </w:r>
    </w:p>
    <w:p>
      <w:r>
        <w:br w:type="page"/>
      </w:r>
    </w:p>
    <w:p>
      <w:pPr>
        <w:spacing w:before="360" w:after="160"/>
      </w:pPr>
      <w:r>
        <w:rPr>
          <w:rFonts w:ascii="Calibri" w:hAnsi="Calibri"/>
          <w:b/>
          <w:color w:val="1F4E79"/>
          <w:sz w:val="32"/>
        </w:rPr>
        <w:t>4. Statistical Validation</w:t>
      </w:r>
    </w:p>
    <w:p>
      <w:pPr>
        <w:spacing w:line="276" w:lineRule="auto" w:after="120"/>
      </w:pPr>
      <w:r>
        <w:rPr>
          <w:rFonts w:ascii="Calibri" w:hAnsi="Calibri"/>
          <w:sz w:val="22"/>
        </w:rPr>
        <w:t>Every central claim in this report is supported by formal statistical testing. This section presents the test results, effect sizes, and interpretation.</w:t>
      </w:r>
    </w:p>
    <w:p>
      <w:pPr>
        <w:spacing w:before="240" w:after="160"/>
      </w:pPr>
      <w:r>
        <w:rPr>
          <w:rFonts w:ascii="Calibri" w:hAnsi="Calibri"/>
          <w:b/>
          <w:sz w:val="28"/>
        </w:rPr>
        <w:t>4.1 Exit Rate: Chi-Square Test of Independence</w:t>
      </w:r>
    </w:p>
    <w:p>
      <w:pPr>
        <w:spacing w:line="276" w:lineRule="auto" w:after="120"/>
      </w:pPr>
      <w:r>
        <w:rPr>
          <w:rFonts w:ascii="Calibri" w:hAnsi="Calibri"/>
          <w:sz w:val="22"/>
        </w:rPr>
        <w:t>We test the null hypothesis that HiPo designation and voluntary exit are independent (i.e., the exit rate is the same for both groups).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
              <w:rPr>
                <w:rFonts w:ascii="Calibri" w:hAnsi="Calibri"/>
                <w:b/>
                <w:color w:val="FFFFFF"/>
                <w:sz w:val="20"/>
              </w:rPr>
            </w:r>
          </w:p>
        </w:tc>
        <w:tc>
          <w:tcPr>
            <w:tcW w:type="dxa" w:w="2340"/>
            <w:shd w:fill="1F4E79"/>
          </w:tcPr>
          <w:p>
            <w:r/>
            <w:r>
              <w:rPr>
                <w:rFonts w:ascii="Calibri" w:hAnsi="Calibri"/>
                <w:b/>
                <w:color w:val="FFFFFF"/>
                <w:sz w:val="20"/>
              </w:rPr>
              <w:t>Did Not Exit</w:t>
            </w:r>
          </w:p>
        </w:tc>
        <w:tc>
          <w:tcPr>
            <w:tcW w:type="dxa" w:w="2340"/>
            <w:shd w:fill="1F4E79"/>
          </w:tcPr>
          <w:p>
            <w:r/>
            <w:r>
              <w:rPr>
                <w:rFonts w:ascii="Calibri" w:hAnsi="Calibri"/>
                <w:b/>
                <w:color w:val="FFFFFF"/>
                <w:sz w:val="20"/>
              </w:rPr>
              <w:t>Exited Voluntarily</w:t>
            </w:r>
          </w:p>
        </w:tc>
        <w:tc>
          <w:tcPr>
            <w:tcW w:type="dxa" w:w="2340"/>
            <w:shd w:fill="1F4E79"/>
          </w:tcPr>
          <w:p>
            <w:r/>
            <w:r>
              <w:rPr>
                <w:rFonts w:ascii="Calibri" w:hAnsi="Calibri"/>
                <w:b/>
                <w:color w:val="FFFFFF"/>
                <w:sz w:val="20"/>
              </w:rPr>
              <w:t>Row Total</w:t>
            </w:r>
          </w:p>
        </w:tc>
      </w:tr>
      <w:tr>
        <w:tc>
          <w:tcPr>
            <w:tcW w:type="dxa" w:w="2340"/>
            <w:shd w:fill="F2F6FA"/>
          </w:tcPr>
          <w:p>
            <w:r/>
            <w:r>
              <w:rPr>
                <w:rFonts w:ascii="Calibri" w:hAnsi="Calibri"/>
                <w:b w:val="0"/>
                <w:sz w:val="20"/>
              </w:rPr>
              <w:t>HiPo</w:t>
            </w:r>
          </w:p>
        </w:tc>
        <w:tc>
          <w:tcPr>
            <w:tcW w:type="dxa" w:w="2340"/>
            <w:shd w:fill="F2F6FA"/>
          </w:tcPr>
          <w:p>
            <w:r/>
            <w:r>
              <w:rPr>
                <w:rFonts w:ascii="Calibri" w:hAnsi="Calibri"/>
                <w:b w:val="0"/>
                <w:sz w:val="20"/>
              </w:rPr>
              <w:t>1,059</w:t>
            </w:r>
          </w:p>
        </w:tc>
        <w:tc>
          <w:tcPr>
            <w:tcW w:type="dxa" w:w="2340"/>
            <w:shd w:fill="F2F6FA"/>
          </w:tcPr>
          <w:p>
            <w:r/>
            <w:r>
              <w:rPr>
                <w:rFonts w:ascii="Calibri" w:hAnsi="Calibri"/>
                <w:b w:val="0"/>
                <w:sz w:val="20"/>
              </w:rPr>
              <w:t>151</w:t>
            </w:r>
          </w:p>
        </w:tc>
        <w:tc>
          <w:tcPr>
            <w:tcW w:type="dxa" w:w="2340"/>
            <w:shd w:fill="F2F6FA"/>
          </w:tcPr>
          <w:p>
            <w:r/>
            <w:r>
              <w:rPr>
                <w:rFonts w:ascii="Calibri" w:hAnsi="Calibri"/>
                <w:b w:val="0"/>
                <w:sz w:val="20"/>
              </w:rPr>
              <w:t>1,210</w:t>
            </w:r>
          </w:p>
        </w:tc>
      </w:tr>
      <w:tr>
        <w:tc>
          <w:tcPr>
            <w:tcW w:type="dxa" w:w="2340"/>
          </w:tcPr>
          <w:p>
            <w:r/>
            <w:r>
              <w:rPr>
                <w:rFonts w:ascii="Calibri" w:hAnsi="Calibri"/>
                <w:b w:val="0"/>
                <w:sz w:val="20"/>
              </w:rPr>
              <w:t>Non-HiPo</w:t>
            </w:r>
          </w:p>
        </w:tc>
        <w:tc>
          <w:tcPr>
            <w:tcW w:type="dxa" w:w="2340"/>
          </w:tcPr>
          <w:p>
            <w:r/>
            <w:r>
              <w:rPr>
                <w:rFonts w:ascii="Calibri" w:hAnsi="Calibri"/>
                <w:b w:val="0"/>
                <w:sz w:val="20"/>
              </w:rPr>
              <w:t>11,211</w:t>
            </w:r>
          </w:p>
        </w:tc>
        <w:tc>
          <w:tcPr>
            <w:tcW w:type="dxa" w:w="2340"/>
          </w:tcPr>
          <w:p>
            <w:r/>
            <w:r>
              <w:rPr>
                <w:rFonts w:ascii="Calibri" w:hAnsi="Calibri"/>
                <w:b w:val="0"/>
                <w:sz w:val="20"/>
              </w:rPr>
              <w:t>982</w:t>
            </w:r>
          </w:p>
        </w:tc>
        <w:tc>
          <w:tcPr>
            <w:tcW w:type="dxa" w:w="2340"/>
          </w:tcPr>
          <w:p>
            <w:r/>
            <w:r>
              <w:rPr>
                <w:rFonts w:ascii="Calibri" w:hAnsi="Calibri"/>
                <w:b w:val="0"/>
                <w:sz w:val="20"/>
              </w:rPr>
              <w:t>12,193</w:t>
            </w:r>
          </w:p>
        </w:tc>
      </w:tr>
      <w:tr>
        <w:tc>
          <w:tcPr>
            <w:tcW w:type="dxa" w:w="2340"/>
            <w:shd w:fill="F2F6FA"/>
          </w:tcPr>
          <w:p>
            <w:r/>
            <w:r>
              <w:rPr>
                <w:rFonts w:ascii="Calibri" w:hAnsi="Calibri"/>
                <w:b w:val="0"/>
                <w:sz w:val="20"/>
              </w:rPr>
              <w:t>Column Total</w:t>
            </w:r>
          </w:p>
        </w:tc>
        <w:tc>
          <w:tcPr>
            <w:tcW w:type="dxa" w:w="2340"/>
            <w:shd w:fill="F2F6FA"/>
          </w:tcPr>
          <w:p>
            <w:r/>
            <w:r>
              <w:rPr>
                <w:rFonts w:ascii="Calibri" w:hAnsi="Calibri"/>
                <w:b w:val="0"/>
                <w:sz w:val="20"/>
              </w:rPr>
              <w:t>12,270</w:t>
            </w:r>
          </w:p>
        </w:tc>
        <w:tc>
          <w:tcPr>
            <w:tcW w:type="dxa" w:w="2340"/>
            <w:shd w:fill="F2F6FA"/>
          </w:tcPr>
          <w:p>
            <w:r/>
            <w:r>
              <w:rPr>
                <w:rFonts w:ascii="Calibri" w:hAnsi="Calibri"/>
                <w:b w:val="0"/>
                <w:sz w:val="20"/>
              </w:rPr>
              <w:t>1,133</w:t>
            </w:r>
          </w:p>
        </w:tc>
        <w:tc>
          <w:tcPr>
            <w:tcW w:type="dxa" w:w="2340"/>
            <w:shd w:fill="F2F6FA"/>
          </w:tcPr>
          <w:p>
            <w:r/>
            <w:r>
              <w:rPr>
                <w:rFonts w:ascii="Calibri" w:hAnsi="Calibri"/>
                <w:b w:val="0"/>
                <w:sz w:val="20"/>
              </w:rPr>
              <w:t>13,403</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
              <w:rPr>
                <w:rFonts w:ascii="Calibri" w:hAnsi="Calibri"/>
                <w:b/>
                <w:color w:val="FFFFFF"/>
                <w:sz w:val="20"/>
              </w:rPr>
              <w:t>Statistic</w:t>
            </w:r>
          </w:p>
        </w:tc>
        <w:tc>
          <w:tcPr>
            <w:tcW w:type="dxa" w:w="3120"/>
            <w:shd w:fill="1F4E79"/>
          </w:tcPr>
          <w:p>
            <w:r/>
            <w:r>
              <w:rPr>
                <w:rFonts w:ascii="Calibri" w:hAnsi="Calibri"/>
                <w:b/>
                <w:color w:val="FFFFFF"/>
                <w:sz w:val="20"/>
              </w:rPr>
              <w:t>Value</w:t>
            </w:r>
          </w:p>
        </w:tc>
        <w:tc>
          <w:tcPr>
            <w:tcW w:type="dxa" w:w="3120"/>
            <w:shd w:fill="1F4E79"/>
          </w:tcPr>
          <w:p>
            <w:r/>
            <w:r>
              <w:rPr>
                <w:rFonts w:ascii="Calibri" w:hAnsi="Calibri"/>
                <w:b/>
                <w:color w:val="FFFFFF"/>
                <w:sz w:val="20"/>
              </w:rPr>
              <w:t>Interpretation</w:t>
            </w:r>
          </w:p>
        </w:tc>
      </w:tr>
      <w:tr>
        <w:tc>
          <w:tcPr>
            <w:tcW w:type="dxa" w:w="3120"/>
            <w:shd w:fill="F2F6FA"/>
          </w:tcPr>
          <w:p>
            <w:r/>
            <w:r>
              <w:rPr>
                <w:rFonts w:ascii="Calibri" w:hAnsi="Calibri"/>
                <w:b w:val="0"/>
                <w:sz w:val="20"/>
              </w:rPr>
              <w:t>Chi-square (X-squared)</w:t>
            </w:r>
          </w:p>
        </w:tc>
        <w:tc>
          <w:tcPr>
            <w:tcW w:type="dxa" w:w="3120"/>
            <w:shd w:fill="F2F6FA"/>
          </w:tcPr>
          <w:p>
            <w:r/>
            <w:r>
              <w:rPr>
                <w:rFonts w:ascii="Calibri" w:hAnsi="Calibri"/>
                <w:b w:val="0"/>
                <w:sz w:val="20"/>
              </w:rPr>
              <w:t>27.289</w:t>
            </w:r>
          </w:p>
        </w:tc>
        <w:tc>
          <w:tcPr>
            <w:tcW w:type="dxa" w:w="3120"/>
            <w:shd w:fill="F2F6FA"/>
          </w:tcPr>
          <w:p>
            <w:r/>
            <w:r>
              <w:rPr>
                <w:rFonts w:ascii="Calibri" w:hAnsi="Calibri"/>
                <w:b w:val="0"/>
                <w:sz w:val="20"/>
              </w:rPr>
              <w:t>—</w:t>
            </w:r>
          </w:p>
        </w:tc>
      </w:tr>
      <w:tr>
        <w:tc>
          <w:tcPr>
            <w:tcW w:type="dxa" w:w="3120"/>
          </w:tcPr>
          <w:p>
            <w:r/>
            <w:r>
              <w:rPr>
                <w:rFonts w:ascii="Calibri" w:hAnsi="Calibri"/>
                <w:b w:val="0"/>
                <w:sz w:val="20"/>
              </w:rPr>
              <w:t>Degrees of Freedom</w:t>
            </w:r>
          </w:p>
        </w:tc>
        <w:tc>
          <w:tcPr>
            <w:tcW w:type="dxa" w:w="3120"/>
          </w:tcPr>
          <w:p>
            <w:r/>
            <w:r>
              <w:rPr>
                <w:rFonts w:ascii="Calibri" w:hAnsi="Calibri"/>
                <w:b w:val="0"/>
                <w:sz w:val="20"/>
              </w:rPr>
              <w:t>1</w:t>
            </w:r>
          </w:p>
        </w:tc>
        <w:tc>
          <w:tcPr>
            <w:tcW w:type="dxa" w:w="3120"/>
          </w:tcPr>
          <w:p>
            <w:r/>
            <w:r>
              <w:rPr>
                <w:rFonts w:ascii="Calibri" w:hAnsi="Calibri"/>
                <w:b w:val="0"/>
                <w:sz w:val="20"/>
              </w:rPr>
              <w:t>—</w:t>
            </w:r>
          </w:p>
        </w:tc>
      </w:tr>
      <w:tr>
        <w:tc>
          <w:tcPr>
            <w:tcW w:type="dxa" w:w="3120"/>
            <w:shd w:fill="F2F6FA"/>
          </w:tcPr>
          <w:p>
            <w:r/>
            <w:r>
              <w:rPr>
                <w:rFonts w:ascii="Calibri" w:hAnsi="Calibri"/>
                <w:b w:val="0"/>
                <w:sz w:val="20"/>
              </w:rPr>
              <w:t>p-value</w:t>
            </w:r>
          </w:p>
        </w:tc>
        <w:tc>
          <w:tcPr>
            <w:tcW w:type="dxa" w:w="3120"/>
            <w:shd w:fill="F2F6FA"/>
          </w:tcPr>
          <w:p>
            <w:r/>
            <w:r>
              <w:rPr>
                <w:rFonts w:ascii="Calibri" w:hAnsi="Calibri"/>
                <w:b w:val="0"/>
                <w:sz w:val="20"/>
              </w:rPr>
              <w:t>&lt; 0.001</w:t>
            </w:r>
          </w:p>
        </w:tc>
        <w:tc>
          <w:tcPr>
            <w:tcW w:type="dxa" w:w="3120"/>
            <w:shd w:fill="F2F6FA"/>
          </w:tcPr>
          <w:p>
            <w:r/>
            <w:r>
              <w:rPr>
                <w:rFonts w:ascii="Calibri" w:hAnsi="Calibri"/>
                <w:b w:val="0"/>
                <w:sz w:val="20"/>
              </w:rPr>
              <w:t>Highly significant</w:t>
            </w:r>
          </w:p>
        </w:tc>
      </w:tr>
      <w:tr>
        <w:tc>
          <w:tcPr>
            <w:tcW w:type="dxa" w:w="3120"/>
          </w:tcPr>
          <w:p>
            <w:r/>
            <w:r>
              <w:rPr>
                <w:rFonts w:ascii="Calibri" w:hAnsi="Calibri"/>
                <w:b w:val="0"/>
                <w:sz w:val="20"/>
              </w:rPr>
              <w:t>Cramer's V (effect size)</w:t>
            </w:r>
          </w:p>
        </w:tc>
        <w:tc>
          <w:tcPr>
            <w:tcW w:type="dxa" w:w="3120"/>
          </w:tcPr>
          <w:p>
            <w:r/>
            <w:r>
              <w:rPr>
                <w:rFonts w:ascii="Calibri" w:hAnsi="Calibri"/>
                <w:b w:val="0"/>
                <w:sz w:val="20"/>
              </w:rPr>
              <w:t>0.045</w:t>
            </w:r>
          </w:p>
        </w:tc>
        <w:tc>
          <w:tcPr>
            <w:tcW w:type="dxa" w:w="3120"/>
          </w:tcPr>
          <w:p>
            <w:r/>
            <w:r>
              <w:rPr>
                <w:rFonts w:ascii="Calibri" w:hAnsi="Calibri"/>
                <w:b w:val="0"/>
                <w:sz w:val="20"/>
              </w:rPr>
              <w:t>Small effect</w:t>
            </w:r>
          </w:p>
        </w:tc>
      </w:tr>
      <w:tr>
        <w:tc>
          <w:tcPr>
            <w:tcW w:type="dxa" w:w="3120"/>
            <w:shd w:fill="F2F6FA"/>
          </w:tcPr>
          <w:p>
            <w:r/>
            <w:r>
              <w:rPr>
                <w:rFonts w:ascii="Calibri" w:hAnsi="Calibri"/>
                <w:b w:val="0"/>
                <w:sz w:val="20"/>
              </w:rPr>
              <w:t>Odds Ratio (HiPo / Non-HiPo)</w:t>
            </w:r>
          </w:p>
        </w:tc>
        <w:tc>
          <w:tcPr>
            <w:tcW w:type="dxa" w:w="3120"/>
            <w:shd w:fill="F2F6FA"/>
          </w:tcPr>
          <w:p>
            <w:r/>
            <w:r>
              <w:rPr>
                <w:rFonts w:ascii="Calibri" w:hAnsi="Calibri"/>
                <w:b w:val="0"/>
                <w:sz w:val="20"/>
              </w:rPr>
              <w:t>1.63</w:t>
            </w:r>
          </w:p>
        </w:tc>
        <w:tc>
          <w:tcPr>
            <w:tcW w:type="dxa" w:w="3120"/>
            <w:shd w:fill="F2F6FA"/>
          </w:tcPr>
          <w:p>
            <w:r/>
            <w:r>
              <w:rPr>
                <w:rFonts w:ascii="Calibri" w:hAnsi="Calibri"/>
                <w:b w:val="0"/>
                <w:sz w:val="20"/>
              </w:rPr>
              <w:t>HiPo 63% more likely to exit</w:t>
            </w:r>
          </w:p>
        </w:tc>
      </w:tr>
      <w:tr>
        <w:tc>
          <w:tcPr>
            <w:tcW w:type="dxa" w:w="3120"/>
          </w:tcPr>
          <w:p>
            <w:r/>
            <w:r>
              <w:rPr>
                <w:rFonts w:ascii="Calibri" w:hAnsi="Calibri"/>
                <w:b w:val="0"/>
                <w:sz w:val="20"/>
              </w:rPr>
              <w:t>95% CI for Odds Ratio</w:t>
            </w:r>
          </w:p>
        </w:tc>
        <w:tc>
          <w:tcPr>
            <w:tcW w:type="dxa" w:w="3120"/>
          </w:tcPr>
          <w:p>
            <w:r/>
            <w:r>
              <w:rPr>
                <w:rFonts w:ascii="Calibri" w:hAnsi="Calibri"/>
                <w:b w:val="0"/>
                <w:sz w:val="20"/>
              </w:rPr>
              <w:t>1.36 - 1.95</w:t>
            </w:r>
          </w:p>
        </w:tc>
        <w:tc>
          <w:tcPr>
            <w:tcW w:type="dxa" w:w="3120"/>
          </w:tcPr>
          <w:p>
            <w:r/>
            <w:r>
              <w:rPr>
                <w:rFonts w:ascii="Calibri" w:hAnsi="Calibri"/>
                <w:b w:val="0"/>
                <w:sz w:val="20"/>
              </w:rPr>
              <w:t>Confidence interval excludes 1.0</w:t>
            </w:r>
          </w:p>
        </w:tc>
      </w:tr>
    </w:tbl>
    <w:p/>
    <w:p>
      <w:pPr>
        <w:spacing w:line="276" w:lineRule="auto" w:after="120"/>
      </w:pPr>
      <w:r>
        <w:rPr>
          <w:rFonts w:ascii="Calibri" w:hAnsi="Calibri"/>
          <w:sz w:val="22"/>
        </w:rPr>
        <w:t>The chi-square test strongly rejects the null hypothesis. HiPo designation and voluntary exit are not independent. The odds ratio of 1.63 means that a HiPo-designated employee has 63% higher odds of voluntary exit compared to a non-designated peer. While Cramer's V of 0.045 indicates a small effect in absolute terms (as expected for low-base-rate events in a large sample), the practical consequences are substantial: 49 additional HiPo exits beyond what would be expected if HiPos exited at the non-HiPo rate.</w:t>
      </w:r>
    </w:p>
    <w:p>
      <w:pPr>
        <w:spacing w:before="240" w:after="160"/>
      </w:pPr>
      <w:r>
        <w:rPr>
          <w:rFonts w:ascii="Calibri" w:hAnsi="Calibri"/>
          <w:b/>
          <w:sz w:val="28"/>
        </w:rPr>
        <w:t>4.2 Career Development: Independent-Samples t-Test</w:t>
      </w:r>
    </w:p>
    <w:p>
      <w:pPr>
        <w:spacing w:line="276" w:lineRule="auto" w:after="120"/>
      </w:pPr>
      <w:r>
        <w:rPr>
          <w:rFonts w:ascii="Calibri" w:hAnsi="Calibri"/>
          <w:sz w:val="22"/>
        </w:rPr>
        <w:t>We test the null hypothesis that the mean career development score is equal for HiPo and non-HiPo employees.</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
              <w:rPr>
                <w:rFonts w:ascii="Calibri" w:hAnsi="Calibri"/>
                <w:b/>
                <w:color w:val="FFFFFF"/>
                <w:sz w:val="20"/>
              </w:rPr>
              <w:t>Statistic</w:t>
            </w:r>
          </w:p>
        </w:tc>
        <w:tc>
          <w:tcPr>
            <w:tcW w:type="dxa" w:w="4680"/>
            <w:shd w:fill="1F4E79"/>
          </w:tcPr>
          <w:p>
            <w:r/>
            <w:r>
              <w:rPr>
                <w:rFonts w:ascii="Calibri" w:hAnsi="Calibri"/>
                <w:b/>
                <w:color w:val="FFFFFF"/>
                <w:sz w:val="20"/>
              </w:rPr>
              <w:t>Value</w:t>
            </w:r>
          </w:p>
        </w:tc>
      </w:tr>
      <w:tr>
        <w:tc>
          <w:tcPr>
            <w:tcW w:type="dxa" w:w="4680"/>
            <w:shd w:fill="F2F6FA"/>
          </w:tcPr>
          <w:p>
            <w:r/>
            <w:r>
              <w:rPr>
                <w:rFonts w:ascii="Calibri" w:hAnsi="Calibri"/>
                <w:b w:val="0"/>
                <w:sz w:val="20"/>
              </w:rPr>
              <w:t>t-statistic</w:t>
            </w:r>
          </w:p>
        </w:tc>
        <w:tc>
          <w:tcPr>
            <w:tcW w:type="dxa" w:w="4680"/>
            <w:shd w:fill="F2F6FA"/>
          </w:tcPr>
          <w:p>
            <w:r/>
            <w:r>
              <w:rPr>
                <w:rFonts w:ascii="Calibri" w:hAnsi="Calibri"/>
                <w:b w:val="0"/>
                <w:sz w:val="20"/>
              </w:rPr>
              <w:t>-0.261</w:t>
            </w:r>
          </w:p>
        </w:tc>
      </w:tr>
      <w:tr>
        <w:tc>
          <w:tcPr>
            <w:tcW w:type="dxa" w:w="4680"/>
          </w:tcPr>
          <w:p>
            <w:r/>
            <w:r>
              <w:rPr>
                <w:rFonts w:ascii="Calibri" w:hAnsi="Calibri"/>
                <w:b w:val="0"/>
                <w:sz w:val="20"/>
              </w:rPr>
              <w:t>Degrees of Freedom (Welch)</w:t>
            </w:r>
          </w:p>
        </w:tc>
        <w:tc>
          <w:tcPr>
            <w:tcW w:type="dxa" w:w="4680"/>
          </w:tcPr>
          <w:p>
            <w:r/>
            <w:r>
              <w:rPr>
                <w:rFonts w:ascii="Calibri" w:hAnsi="Calibri"/>
                <w:b w:val="0"/>
                <w:sz w:val="20"/>
              </w:rPr>
              <w:t>1,339.7</w:t>
            </w:r>
          </w:p>
        </w:tc>
      </w:tr>
      <w:tr>
        <w:tc>
          <w:tcPr>
            <w:tcW w:type="dxa" w:w="4680"/>
            <w:shd w:fill="F2F6FA"/>
          </w:tcPr>
          <w:p>
            <w:r/>
            <w:r>
              <w:rPr>
                <w:rFonts w:ascii="Calibri" w:hAnsi="Calibri"/>
                <w:b w:val="0"/>
                <w:sz w:val="20"/>
              </w:rPr>
              <w:t>p-value (two-tailed)</w:t>
            </w:r>
          </w:p>
        </w:tc>
        <w:tc>
          <w:tcPr>
            <w:tcW w:type="dxa" w:w="4680"/>
            <w:shd w:fill="F2F6FA"/>
          </w:tcPr>
          <w:p>
            <w:r/>
            <w:r>
              <w:rPr>
                <w:rFonts w:ascii="Calibri" w:hAnsi="Calibri"/>
                <w:b w:val="0"/>
                <w:sz w:val="20"/>
              </w:rPr>
              <w:t>0.794</w:t>
            </w:r>
          </w:p>
        </w:tc>
      </w:tr>
      <w:tr>
        <w:tc>
          <w:tcPr>
            <w:tcW w:type="dxa" w:w="4680"/>
          </w:tcPr>
          <w:p>
            <w:r/>
            <w:r>
              <w:rPr>
                <w:rFonts w:ascii="Calibri" w:hAnsi="Calibri"/>
                <w:b w:val="0"/>
                <w:sz w:val="20"/>
              </w:rPr>
              <w:t>Mean Difference</w:t>
            </w:r>
          </w:p>
        </w:tc>
        <w:tc>
          <w:tcPr>
            <w:tcW w:type="dxa" w:w="4680"/>
          </w:tcPr>
          <w:p>
            <w:r/>
            <w:r>
              <w:rPr>
                <w:rFonts w:ascii="Calibri" w:hAnsi="Calibri"/>
                <w:b w:val="0"/>
                <w:sz w:val="20"/>
              </w:rPr>
              <w:t>-0.007</w:t>
            </w:r>
          </w:p>
        </w:tc>
      </w:tr>
      <w:tr>
        <w:tc>
          <w:tcPr>
            <w:tcW w:type="dxa" w:w="4680"/>
            <w:shd w:fill="F2F6FA"/>
          </w:tcPr>
          <w:p>
            <w:r/>
            <w:r>
              <w:rPr>
                <w:rFonts w:ascii="Calibri" w:hAnsi="Calibri"/>
                <w:b w:val="0"/>
                <w:sz w:val="20"/>
              </w:rPr>
              <w:t>95% CI of Difference</w:t>
            </w:r>
          </w:p>
        </w:tc>
        <w:tc>
          <w:tcPr>
            <w:tcW w:type="dxa" w:w="4680"/>
            <w:shd w:fill="F2F6FA"/>
          </w:tcPr>
          <w:p>
            <w:r/>
            <w:r>
              <w:rPr>
                <w:rFonts w:ascii="Calibri" w:hAnsi="Calibri"/>
                <w:b w:val="0"/>
                <w:sz w:val="20"/>
              </w:rPr>
              <w:t>[-0.061, +0.047]</w:t>
            </w:r>
          </w:p>
        </w:tc>
      </w:tr>
      <w:tr>
        <w:tc>
          <w:tcPr>
            <w:tcW w:type="dxa" w:w="4680"/>
          </w:tcPr>
          <w:p>
            <w:r/>
            <w:r>
              <w:rPr>
                <w:rFonts w:ascii="Calibri" w:hAnsi="Calibri"/>
                <w:b w:val="0"/>
                <w:sz w:val="20"/>
              </w:rPr>
              <w:t>Cohen's d</w:t>
            </w:r>
          </w:p>
        </w:tc>
        <w:tc>
          <w:tcPr>
            <w:tcW w:type="dxa" w:w="4680"/>
          </w:tcPr>
          <w:p>
            <w:r/>
            <w:r>
              <w:rPr>
                <w:rFonts w:ascii="Calibri" w:hAnsi="Calibri"/>
                <w:b w:val="0"/>
                <w:sz w:val="20"/>
              </w:rPr>
              <w:t>0.008</w:t>
            </w:r>
          </w:p>
        </w:tc>
      </w:tr>
    </w:tbl>
    <w:p/>
    <w:p>
      <w:pPr>
        <w:spacing w:line="276" w:lineRule="auto" w:after="120"/>
      </w:pPr>
      <w:r>
        <w:rPr>
          <w:rFonts w:ascii="Calibri" w:hAnsi="Calibri"/>
          <w:sz w:val="22"/>
        </w:rPr>
        <w:t>The null hypothesis cannot be rejected. The p-value of 0.794 is far above any conventional significance threshold. The 95% confidence interval for the mean difference comfortably includes zero. Cohen's d of 0.008 is negligible by conventional standards (d &lt; 0.2 is considered trivial). This result constitutes strong evidence that HiPo and non-HiPo employees report indistinguishable levels of career development.</w:t>
      </w:r>
    </w:p>
    <w:p>
      <w:pPr>
        <w:spacing w:before="240" w:after="160"/>
      </w:pPr>
      <w:r>
        <w:rPr>
          <w:rFonts w:ascii="Calibri" w:hAnsi="Calibri"/>
          <w:b/>
          <w:sz w:val="28"/>
        </w:rPr>
        <w:t>4.3 Promotion Eligibility: Chi-Square Test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
              <w:rPr>
                <w:rFonts w:ascii="Calibri" w:hAnsi="Calibri"/>
                <w:b/>
                <w:color w:val="FFFFFF"/>
                <w:sz w:val="20"/>
              </w:rPr>
              <w:t>Statistic</w:t>
            </w:r>
          </w:p>
        </w:tc>
        <w:tc>
          <w:tcPr>
            <w:tcW w:type="dxa" w:w="3120"/>
            <w:shd w:fill="1F4E79"/>
          </w:tcPr>
          <w:p>
            <w:r/>
            <w:r>
              <w:rPr>
                <w:rFonts w:ascii="Calibri" w:hAnsi="Calibri"/>
                <w:b/>
                <w:color w:val="FFFFFF"/>
                <w:sz w:val="20"/>
              </w:rPr>
              <w:t>Value</w:t>
            </w:r>
          </w:p>
        </w:tc>
        <w:tc>
          <w:tcPr>
            <w:tcW w:type="dxa" w:w="3120"/>
            <w:shd w:fill="1F4E79"/>
          </w:tcPr>
          <w:p>
            <w:r/>
            <w:r>
              <w:rPr>
                <w:rFonts w:ascii="Calibri" w:hAnsi="Calibri"/>
                <w:b/>
                <w:color w:val="FFFFFF"/>
                <w:sz w:val="20"/>
              </w:rPr>
              <w:t>Interpretation</w:t>
            </w:r>
          </w:p>
        </w:tc>
      </w:tr>
      <w:tr>
        <w:tc>
          <w:tcPr>
            <w:tcW w:type="dxa" w:w="3120"/>
            <w:shd w:fill="F2F6FA"/>
          </w:tcPr>
          <w:p>
            <w:r/>
            <w:r>
              <w:rPr>
                <w:rFonts w:ascii="Calibri" w:hAnsi="Calibri"/>
                <w:b w:val="0"/>
                <w:sz w:val="20"/>
              </w:rPr>
              <w:t>Chi-square</w:t>
            </w:r>
          </w:p>
        </w:tc>
        <w:tc>
          <w:tcPr>
            <w:tcW w:type="dxa" w:w="3120"/>
            <w:shd w:fill="F2F6FA"/>
          </w:tcPr>
          <w:p>
            <w:r/>
            <w:r>
              <w:rPr>
                <w:rFonts w:ascii="Calibri" w:hAnsi="Calibri"/>
                <w:b w:val="0"/>
                <w:sz w:val="20"/>
              </w:rPr>
              <w:t>9.798</w:t>
            </w:r>
          </w:p>
        </w:tc>
        <w:tc>
          <w:tcPr>
            <w:tcW w:type="dxa" w:w="3120"/>
            <w:shd w:fill="F2F6FA"/>
          </w:tcPr>
          <w:p>
            <w:r/>
            <w:r>
              <w:rPr>
                <w:rFonts w:ascii="Calibri" w:hAnsi="Calibri"/>
                <w:b w:val="0"/>
                <w:sz w:val="20"/>
              </w:rPr>
              <w:t>—</w:t>
            </w:r>
          </w:p>
        </w:tc>
      </w:tr>
      <w:tr>
        <w:tc>
          <w:tcPr>
            <w:tcW w:type="dxa" w:w="3120"/>
          </w:tcPr>
          <w:p>
            <w:r/>
            <w:r>
              <w:rPr>
                <w:rFonts w:ascii="Calibri" w:hAnsi="Calibri"/>
                <w:b w:val="0"/>
                <w:sz w:val="20"/>
              </w:rPr>
              <w:t>Degrees of Freedom</w:t>
            </w:r>
          </w:p>
        </w:tc>
        <w:tc>
          <w:tcPr>
            <w:tcW w:type="dxa" w:w="3120"/>
          </w:tcPr>
          <w:p>
            <w:r/>
            <w:r>
              <w:rPr>
                <w:rFonts w:ascii="Calibri" w:hAnsi="Calibri"/>
                <w:b w:val="0"/>
                <w:sz w:val="20"/>
              </w:rPr>
              <w:t>1</w:t>
            </w:r>
          </w:p>
        </w:tc>
        <w:tc>
          <w:tcPr>
            <w:tcW w:type="dxa" w:w="3120"/>
          </w:tcPr>
          <w:p>
            <w:r/>
            <w:r>
              <w:rPr>
                <w:rFonts w:ascii="Calibri" w:hAnsi="Calibri"/>
                <w:b w:val="0"/>
                <w:sz w:val="20"/>
              </w:rPr>
              <w:t>—</w:t>
            </w:r>
          </w:p>
        </w:tc>
      </w:tr>
      <w:tr>
        <w:tc>
          <w:tcPr>
            <w:tcW w:type="dxa" w:w="3120"/>
            <w:shd w:fill="F2F6FA"/>
          </w:tcPr>
          <w:p>
            <w:r/>
            <w:r>
              <w:rPr>
                <w:rFonts w:ascii="Calibri" w:hAnsi="Calibri"/>
                <w:b w:val="0"/>
                <w:sz w:val="20"/>
              </w:rPr>
              <w:t>p-value</w:t>
            </w:r>
          </w:p>
        </w:tc>
        <w:tc>
          <w:tcPr>
            <w:tcW w:type="dxa" w:w="3120"/>
            <w:shd w:fill="F2F6FA"/>
          </w:tcPr>
          <w:p>
            <w:r/>
            <w:r>
              <w:rPr>
                <w:rFonts w:ascii="Calibri" w:hAnsi="Calibri"/>
                <w:b w:val="0"/>
                <w:sz w:val="20"/>
              </w:rPr>
              <w:t>0.002</w:t>
            </w:r>
          </w:p>
        </w:tc>
        <w:tc>
          <w:tcPr>
            <w:tcW w:type="dxa" w:w="3120"/>
            <w:shd w:fill="F2F6FA"/>
          </w:tcPr>
          <w:p>
            <w:r/>
            <w:r>
              <w:rPr>
                <w:rFonts w:ascii="Calibri" w:hAnsi="Calibri"/>
                <w:b w:val="0"/>
                <w:sz w:val="20"/>
              </w:rPr>
              <w:t>Statistically significant</w:t>
            </w:r>
          </w:p>
        </w:tc>
      </w:tr>
      <w:tr>
        <w:tc>
          <w:tcPr>
            <w:tcW w:type="dxa" w:w="3120"/>
          </w:tcPr>
          <w:p>
            <w:r/>
            <w:r>
              <w:rPr>
                <w:rFonts w:ascii="Calibri" w:hAnsi="Calibri"/>
                <w:b w:val="0"/>
                <w:sz w:val="20"/>
              </w:rPr>
              <w:t>Cramer's V</w:t>
            </w:r>
          </w:p>
        </w:tc>
        <w:tc>
          <w:tcPr>
            <w:tcW w:type="dxa" w:w="3120"/>
          </w:tcPr>
          <w:p>
            <w:r/>
            <w:r>
              <w:rPr>
                <w:rFonts w:ascii="Calibri" w:hAnsi="Calibri"/>
                <w:b w:val="0"/>
                <w:sz w:val="20"/>
              </w:rPr>
              <w:t>0.027</w:t>
            </w:r>
          </w:p>
        </w:tc>
        <w:tc>
          <w:tcPr>
            <w:tcW w:type="dxa" w:w="3120"/>
          </w:tcPr>
          <w:p>
            <w:r/>
            <w:r>
              <w:rPr>
                <w:rFonts w:ascii="Calibri" w:hAnsi="Calibri"/>
                <w:b w:val="0"/>
                <w:sz w:val="20"/>
              </w:rPr>
              <w:t>Negligible effect size</w:t>
            </w:r>
          </w:p>
        </w:tc>
      </w:tr>
    </w:tbl>
    <w:p/>
    <w:p>
      <w:pPr>
        <w:spacing w:line="276" w:lineRule="auto" w:after="120"/>
      </w:pPr>
      <w:r>
        <w:rPr>
          <w:rFonts w:ascii="Calibri" w:hAnsi="Calibri"/>
          <w:sz w:val="22"/>
        </w:rPr>
        <w:t>While statistically significant (p = 0.002), the effect size is negligible (Cramer's V = 0.027). The practical takeaway is not that HiPos receive more promotion eligibility, but that the gap (29.3% vs. 25.2%) is far too small to constitute meaningful differentiation. If the HiPo programme worked as intended, the promotion-eligible rate among HiPos should approach 100%.</w:t>
      </w:r>
    </w:p>
    <w:p>
      <w:pPr>
        <w:spacing w:before="240" w:after="160"/>
      </w:pPr>
      <w:r>
        <w:rPr>
          <w:rFonts w:ascii="Calibri" w:hAnsi="Calibri"/>
          <w:b/>
          <w:sz w:val="28"/>
        </w:rPr>
        <w:t>4.4 Regrettable Exit: Chi-Square Test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
              <w:rPr>
                <w:rFonts w:ascii="Calibri" w:hAnsi="Calibri"/>
                <w:b/>
                <w:color w:val="FFFFFF"/>
                <w:sz w:val="20"/>
              </w:rPr>
            </w:r>
          </w:p>
        </w:tc>
        <w:tc>
          <w:tcPr>
            <w:tcW w:type="dxa" w:w="2340"/>
            <w:shd w:fill="1F4E79"/>
          </w:tcPr>
          <w:p>
            <w:r/>
            <w:r>
              <w:rPr>
                <w:rFonts w:ascii="Calibri" w:hAnsi="Calibri"/>
                <w:b/>
                <w:color w:val="FFFFFF"/>
                <w:sz w:val="20"/>
              </w:rPr>
              <w:t>Not Regrettable Exit</w:t>
            </w:r>
          </w:p>
        </w:tc>
        <w:tc>
          <w:tcPr>
            <w:tcW w:type="dxa" w:w="2340"/>
            <w:shd w:fill="1F4E79"/>
          </w:tcPr>
          <w:p>
            <w:r/>
            <w:r>
              <w:rPr>
                <w:rFonts w:ascii="Calibri" w:hAnsi="Calibri"/>
                <w:b/>
                <w:color w:val="FFFFFF"/>
                <w:sz w:val="20"/>
              </w:rPr>
              <w:t>Regrettable Exit</w:t>
            </w:r>
          </w:p>
        </w:tc>
        <w:tc>
          <w:tcPr>
            <w:tcW w:type="dxa" w:w="2340"/>
            <w:shd w:fill="1F4E79"/>
          </w:tcPr>
          <w:p>
            <w:r/>
            <w:r>
              <w:rPr>
                <w:rFonts w:ascii="Calibri" w:hAnsi="Calibri"/>
                <w:b/>
                <w:color w:val="FFFFFF"/>
                <w:sz w:val="20"/>
              </w:rPr>
              <w:t>Total</w:t>
            </w:r>
          </w:p>
        </w:tc>
      </w:tr>
      <w:tr>
        <w:tc>
          <w:tcPr>
            <w:tcW w:type="dxa" w:w="2340"/>
            <w:shd w:fill="F2F6FA"/>
          </w:tcPr>
          <w:p>
            <w:r/>
            <w:r>
              <w:rPr>
                <w:rFonts w:ascii="Calibri" w:hAnsi="Calibri"/>
                <w:b w:val="0"/>
                <w:sz w:val="20"/>
              </w:rPr>
              <w:t>HiPo</w:t>
            </w:r>
          </w:p>
        </w:tc>
        <w:tc>
          <w:tcPr>
            <w:tcW w:type="dxa" w:w="2340"/>
            <w:shd w:fill="F2F6FA"/>
          </w:tcPr>
          <w:p>
            <w:r/>
            <w:r>
              <w:rPr>
                <w:rFonts w:ascii="Calibri" w:hAnsi="Calibri"/>
                <w:b w:val="0"/>
                <w:sz w:val="20"/>
              </w:rPr>
              <w:t>1,134</w:t>
            </w:r>
          </w:p>
        </w:tc>
        <w:tc>
          <w:tcPr>
            <w:tcW w:type="dxa" w:w="2340"/>
            <w:shd w:fill="F2F6FA"/>
          </w:tcPr>
          <w:p>
            <w:r/>
            <w:r>
              <w:rPr>
                <w:rFonts w:ascii="Calibri" w:hAnsi="Calibri"/>
                <w:b w:val="0"/>
                <w:sz w:val="20"/>
              </w:rPr>
              <w:t>76</w:t>
            </w:r>
          </w:p>
        </w:tc>
        <w:tc>
          <w:tcPr>
            <w:tcW w:type="dxa" w:w="2340"/>
            <w:shd w:fill="F2F6FA"/>
          </w:tcPr>
          <w:p>
            <w:r/>
            <w:r>
              <w:rPr>
                <w:rFonts w:ascii="Calibri" w:hAnsi="Calibri"/>
                <w:b w:val="0"/>
                <w:sz w:val="20"/>
              </w:rPr>
              <w:t>1,210</w:t>
            </w:r>
          </w:p>
        </w:tc>
      </w:tr>
      <w:tr>
        <w:tc>
          <w:tcPr>
            <w:tcW w:type="dxa" w:w="2340"/>
          </w:tcPr>
          <w:p>
            <w:r/>
            <w:r>
              <w:rPr>
                <w:rFonts w:ascii="Calibri" w:hAnsi="Calibri"/>
                <w:b w:val="0"/>
                <w:sz w:val="20"/>
              </w:rPr>
              <w:t>Non-HiPo</w:t>
            </w:r>
          </w:p>
        </w:tc>
        <w:tc>
          <w:tcPr>
            <w:tcW w:type="dxa" w:w="2340"/>
          </w:tcPr>
          <w:p>
            <w:r/>
            <w:r>
              <w:rPr>
                <w:rFonts w:ascii="Calibri" w:hAnsi="Calibri"/>
                <w:b w:val="0"/>
                <w:sz w:val="20"/>
              </w:rPr>
              <w:t>12,116</w:t>
            </w:r>
          </w:p>
        </w:tc>
        <w:tc>
          <w:tcPr>
            <w:tcW w:type="dxa" w:w="2340"/>
          </w:tcPr>
          <w:p>
            <w:r/>
            <w:r>
              <w:rPr>
                <w:rFonts w:ascii="Calibri" w:hAnsi="Calibri"/>
                <w:b w:val="0"/>
                <w:sz w:val="20"/>
              </w:rPr>
              <w:t>77</w:t>
            </w:r>
          </w:p>
        </w:tc>
        <w:tc>
          <w:tcPr>
            <w:tcW w:type="dxa" w:w="2340"/>
          </w:tcPr>
          <w:p>
            <w:r/>
            <w:r>
              <w:rPr>
                <w:rFonts w:ascii="Calibri" w:hAnsi="Calibri"/>
                <w:b w:val="0"/>
                <w:sz w:val="20"/>
              </w:rPr>
              <w:t>12,193</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
              <w:rPr>
                <w:rFonts w:ascii="Calibri" w:hAnsi="Calibri"/>
                <w:b/>
                <w:color w:val="FFFFFF"/>
                <w:sz w:val="20"/>
              </w:rPr>
              <w:t>Statistic</w:t>
            </w:r>
          </w:p>
        </w:tc>
        <w:tc>
          <w:tcPr>
            <w:tcW w:type="dxa" w:w="4680"/>
            <w:shd w:fill="1F4E79"/>
          </w:tcPr>
          <w:p>
            <w:r/>
            <w:r>
              <w:rPr>
                <w:rFonts w:ascii="Calibri" w:hAnsi="Calibri"/>
                <w:b/>
                <w:color w:val="FFFFFF"/>
                <w:sz w:val="20"/>
              </w:rPr>
              <w:t>Value</w:t>
            </w:r>
          </w:p>
        </w:tc>
      </w:tr>
      <w:tr>
        <w:tc>
          <w:tcPr>
            <w:tcW w:type="dxa" w:w="4680"/>
            <w:shd w:fill="F2F6FA"/>
          </w:tcPr>
          <w:p>
            <w:r/>
            <w:r>
              <w:rPr>
                <w:rFonts w:ascii="Calibri" w:hAnsi="Calibri"/>
                <w:b w:val="0"/>
                <w:sz w:val="20"/>
              </w:rPr>
              <w:t>Chi-square</w:t>
            </w:r>
          </w:p>
        </w:tc>
        <w:tc>
          <w:tcPr>
            <w:tcW w:type="dxa" w:w="4680"/>
            <w:shd w:fill="F2F6FA"/>
          </w:tcPr>
          <w:p>
            <w:r/>
            <w:r>
              <w:rPr>
                <w:rFonts w:ascii="Calibri" w:hAnsi="Calibri"/>
                <w:b w:val="0"/>
                <w:sz w:val="20"/>
              </w:rPr>
              <w:t>403.8</w:t>
            </w:r>
          </w:p>
        </w:tc>
      </w:tr>
      <w:tr>
        <w:tc>
          <w:tcPr>
            <w:tcW w:type="dxa" w:w="4680"/>
          </w:tcPr>
          <w:p>
            <w:r/>
            <w:r>
              <w:rPr>
                <w:rFonts w:ascii="Calibri" w:hAnsi="Calibri"/>
                <w:b w:val="0"/>
                <w:sz w:val="20"/>
              </w:rPr>
              <w:t>p-value</w:t>
            </w:r>
          </w:p>
        </w:tc>
        <w:tc>
          <w:tcPr>
            <w:tcW w:type="dxa" w:w="4680"/>
          </w:tcPr>
          <w:p>
            <w:r/>
            <w:r>
              <w:rPr>
                <w:rFonts w:ascii="Calibri" w:hAnsi="Calibri"/>
                <w:b w:val="0"/>
                <w:sz w:val="20"/>
              </w:rPr>
              <w:t>&lt; 0.001</w:t>
            </w:r>
          </w:p>
        </w:tc>
      </w:tr>
      <w:tr>
        <w:tc>
          <w:tcPr>
            <w:tcW w:type="dxa" w:w="4680"/>
            <w:shd w:fill="F2F6FA"/>
          </w:tcPr>
          <w:p>
            <w:r/>
            <w:r>
              <w:rPr>
                <w:rFonts w:ascii="Calibri" w:hAnsi="Calibri"/>
                <w:b w:val="0"/>
                <w:sz w:val="20"/>
              </w:rPr>
              <w:t>Odds Ratio</w:t>
            </w:r>
          </w:p>
        </w:tc>
        <w:tc>
          <w:tcPr>
            <w:tcW w:type="dxa" w:w="4680"/>
            <w:shd w:fill="F2F6FA"/>
          </w:tcPr>
          <w:p>
            <w:r/>
            <w:r>
              <w:rPr>
                <w:rFonts w:ascii="Calibri" w:hAnsi="Calibri"/>
                <w:b w:val="0"/>
                <w:sz w:val="20"/>
              </w:rPr>
              <w:t>10.55</w:t>
            </w:r>
          </w:p>
        </w:tc>
      </w:tr>
      <w:tr>
        <w:tc>
          <w:tcPr>
            <w:tcW w:type="dxa" w:w="4680"/>
          </w:tcPr>
          <w:p>
            <w:r/>
            <w:r>
              <w:rPr>
                <w:rFonts w:ascii="Calibri" w:hAnsi="Calibri"/>
                <w:b w:val="0"/>
                <w:sz w:val="20"/>
              </w:rPr>
              <w:t>95% CI for Odds Ratio</w:t>
            </w:r>
          </w:p>
        </w:tc>
        <w:tc>
          <w:tcPr>
            <w:tcW w:type="dxa" w:w="4680"/>
          </w:tcPr>
          <w:p>
            <w:r/>
            <w:r>
              <w:rPr>
                <w:rFonts w:ascii="Calibri" w:hAnsi="Calibri"/>
                <w:b w:val="0"/>
                <w:sz w:val="20"/>
              </w:rPr>
              <w:t>7.59 - 14.66</w:t>
            </w:r>
          </w:p>
        </w:tc>
      </w:tr>
    </w:tbl>
    <w:p/>
    <w:p>
      <w:pPr>
        <w:spacing w:line="276" w:lineRule="auto" w:after="120"/>
      </w:pPr>
      <w:r>
        <w:rPr>
          <w:rFonts w:ascii="Calibri" w:hAnsi="Calibri"/>
          <w:sz w:val="22"/>
        </w:rPr>
        <w:t>The regrettable-exit analysis reveals the most extreme disparity. HiPos are 10.5 times more likely to be classified as regrettable exits compared to non-HiPos. This reflects both the higher exit rate and the higher perceived value of HiPo departures. Either way, the organisation is losing a disproportionate share of its identified future leaders.</w:t>
      </w:r>
    </w:p>
    <w:p>
      <w:r>
        <w:br w:type="page"/>
      </w:r>
    </w:p>
    <w:p>
      <w:pPr>
        <w:spacing w:before="360" w:after="160"/>
      </w:pPr>
      <w:r>
        <w:rPr>
          <w:rFonts w:ascii="Calibri" w:hAnsi="Calibri"/>
          <w:b/>
          <w:color w:val="1F4E79"/>
          <w:sz w:val="32"/>
        </w:rPr>
        <w:t>5. Root Cause Analysis</w:t>
      </w:r>
    </w:p>
    <w:p>
      <w:pPr>
        <w:spacing w:line="276" w:lineRule="auto" w:after="120"/>
      </w:pPr>
      <w:r>
        <w:rPr>
          <w:rFonts w:ascii="Calibri" w:hAnsi="Calibri"/>
          <w:sz w:val="22"/>
        </w:rPr>
        <w:t>The data point to two interconnected root causes. Neither operates in isolation; together, they form a self-reinforcing cycle that converts high-potential identification into elevated attrition risk.</w:t>
      </w:r>
    </w:p>
    <w:p>
      <w:pPr>
        <w:spacing w:before="240" w:after="160"/>
      </w:pPr>
      <w:r>
        <w:rPr>
          <w:rFonts w:ascii="Calibri" w:hAnsi="Calibri"/>
          <w:b/>
          <w:sz w:val="28"/>
        </w:rPr>
        <w:t>5.1 Root Cause 1: Label Without a Path</w:t>
      </w:r>
    </w:p>
    <w:p>
      <w:pPr>
        <w:spacing w:line="276" w:lineRule="auto" w:after="120"/>
      </w:pPr>
      <w:r>
        <w:rPr>
          <w:rFonts w:ascii="Calibri" w:hAnsi="Calibri"/>
          <w:sz w:val="22"/>
        </w:rPr>
        <w:t>The HiPo designation signals to an employee that the organisation sees them as a future leader. This signal raises expectations. Employees reasonably anticipate accelerated development, visible career progression, and increased investment from the organisation. The data show that these expectations are not being met.</w:t>
      </w:r>
    </w:p>
    <w:p>
      <w:pPr>
        <w:spacing w:line="276" w:lineRule="auto" w:after="120"/>
      </w:pPr>
      <w:r>
        <w:rPr>
          <w:rFonts w:ascii="Calibri" w:hAnsi="Calibri"/>
          <w:b/>
          <w:sz w:val="22"/>
        </w:rPr>
        <w:t xml:space="preserve">Evidence: </w:t>
      </w:r>
      <w:r>
        <w:rPr>
          <w:rFonts w:ascii="Calibri" w:hAnsi="Calibri"/>
          <w:b w:val="0"/>
          <w:sz w:val="22"/>
        </w:rPr>
        <w:t>Only 29.3% of HiPos are flagged as promotion-eligible. This means that 70.7% of employees told they are "high potential" have not been marked as ready for their next role by their own manager. The designation creates a promise that the system does not honour.</w:t>
      </w:r>
    </w:p>
    <w:p>
      <w:pPr>
        <w:spacing w:line="276" w:lineRule="auto" w:after="120"/>
      </w:pPr>
      <w:r>
        <w:rPr>
          <w:rFonts w:ascii="Calibri" w:hAnsi="Calibri"/>
          <w:b/>
          <w:sz w:val="22"/>
        </w:rPr>
        <w:t xml:space="preserve">Evidence: </w:t>
      </w:r>
      <w:r>
        <w:rPr>
          <w:rFonts w:ascii="Calibri" w:hAnsi="Calibri"/>
          <w:b w:val="0"/>
          <w:sz w:val="22"/>
        </w:rPr>
        <w:t>Career development scores are identical between HiPos and non-HiPos (3.36 vs. 3.37, p = 0.794). The HiPo programme is not delivering a differentiated developmental experience. HiPos receive the same stretch assignments, the same mentoring, and the same growth opportunities as everyone else.</w:t>
      </w:r>
    </w:p>
    <w:p>
      <w:pPr>
        <w:spacing w:line="276" w:lineRule="auto" w:after="120"/>
      </w:pPr>
      <w:r>
        <w:rPr>
          <w:rFonts w:ascii="Calibri" w:hAnsi="Calibri"/>
          <w:sz w:val="22"/>
        </w:rPr>
        <w:t>The psychological contract between the organisation and its identified talent is broken. The label raises the bar, but the experience remains unchanged. When employees perceive that the promise of the HiPo designation is hollow, they look elsewhere. The external labour market readily absorbs talent with a recognised high-potential track record.</w:t>
      </w:r>
    </w:p>
    <w:p>
      <w:pPr>
        <w:spacing w:before="240" w:after="160"/>
      </w:pPr>
      <w:r>
        <w:rPr>
          <w:rFonts w:ascii="Calibri" w:hAnsi="Calibri"/>
          <w:b/>
          <w:sz w:val="28"/>
        </w:rPr>
        <w:t>5.2 Root Cause 2: No Differentiated Development</w:t>
      </w:r>
    </w:p>
    <w:p>
      <w:pPr>
        <w:spacing w:line="276" w:lineRule="auto" w:after="120"/>
      </w:pPr>
      <w:r>
        <w:rPr>
          <w:rFonts w:ascii="Calibri" w:hAnsi="Calibri"/>
          <w:sz w:val="22"/>
        </w:rPr>
        <w:t>Across all eight engagement dimensions, HiPo and non-HiPo scores are statistically indistinguishable. This finding is striking because it suggests that the HiPo programme has no measurable impact on the employee experience. If the programme were functioning, we would expect to see elevated scores on dimensions that reflect development, recognition, and career confidence.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
              <w:rPr>
                <w:rFonts w:ascii="Calibri" w:hAnsi="Calibri"/>
                <w:b/>
                <w:color w:val="FFFFFF"/>
                <w:sz w:val="20"/>
              </w:rPr>
              <w:t>Engagement Dimension</w:t>
            </w:r>
          </w:p>
        </w:tc>
        <w:tc>
          <w:tcPr>
            <w:tcW w:type="dxa" w:w="1872"/>
            <w:shd w:fill="1F4E79"/>
          </w:tcPr>
          <w:p>
            <w:r/>
            <w:r>
              <w:rPr>
                <w:rFonts w:ascii="Calibri" w:hAnsi="Calibri"/>
                <w:b/>
                <w:color w:val="FFFFFF"/>
                <w:sz w:val="20"/>
              </w:rPr>
              <w:t>HiPo Mean</w:t>
            </w:r>
          </w:p>
        </w:tc>
        <w:tc>
          <w:tcPr>
            <w:tcW w:type="dxa" w:w="1872"/>
            <w:shd w:fill="1F4E79"/>
          </w:tcPr>
          <w:p>
            <w:r/>
            <w:r>
              <w:rPr>
                <w:rFonts w:ascii="Calibri" w:hAnsi="Calibri"/>
                <w:b/>
                <w:color w:val="FFFFFF"/>
                <w:sz w:val="20"/>
              </w:rPr>
              <w:t>Non-HiPo Mean</w:t>
            </w:r>
          </w:p>
        </w:tc>
        <w:tc>
          <w:tcPr>
            <w:tcW w:type="dxa" w:w="1872"/>
            <w:shd w:fill="1F4E79"/>
          </w:tcPr>
          <w:p>
            <w:r/>
            <w:r>
              <w:rPr>
                <w:rFonts w:ascii="Calibri" w:hAnsi="Calibri"/>
                <w:b/>
                <w:color w:val="FFFFFF"/>
                <w:sz w:val="20"/>
              </w:rPr>
              <w:t>Difference</w:t>
            </w:r>
          </w:p>
        </w:tc>
        <w:tc>
          <w:tcPr>
            <w:tcW w:type="dxa" w:w="1872"/>
            <w:shd w:fill="1F4E79"/>
          </w:tcPr>
          <w:p>
            <w:r/>
            <w:r>
              <w:rPr>
                <w:rFonts w:ascii="Calibri" w:hAnsi="Calibri"/>
                <w:b/>
                <w:color w:val="FFFFFF"/>
                <w:sz w:val="20"/>
              </w:rPr>
              <w:t>p-value</w:t>
            </w:r>
          </w:p>
        </w:tc>
      </w:tr>
      <w:tr>
        <w:tc>
          <w:tcPr>
            <w:tcW w:type="dxa" w:w="1872"/>
            <w:shd w:fill="F2F6FA"/>
          </w:tcPr>
          <w:p>
            <w:r/>
            <w:r>
              <w:rPr>
                <w:rFonts w:ascii="Calibri" w:hAnsi="Calibri"/>
                <w:b w:val="0"/>
                <w:sz w:val="20"/>
              </w:rPr>
              <w:t>Manager Effectiveness</w:t>
            </w:r>
          </w:p>
        </w:tc>
        <w:tc>
          <w:tcPr>
            <w:tcW w:type="dxa" w:w="1872"/>
            <w:shd w:fill="F2F6FA"/>
          </w:tcPr>
          <w:p>
            <w:r/>
            <w:r>
              <w:rPr>
                <w:rFonts w:ascii="Calibri" w:hAnsi="Calibri"/>
                <w:b w:val="0"/>
                <w:sz w:val="20"/>
              </w:rPr>
              <w:t>3.398</w:t>
            </w:r>
          </w:p>
        </w:tc>
        <w:tc>
          <w:tcPr>
            <w:tcW w:type="dxa" w:w="1872"/>
            <w:shd w:fill="F2F6FA"/>
          </w:tcPr>
          <w:p>
            <w:r/>
            <w:r>
              <w:rPr>
                <w:rFonts w:ascii="Calibri" w:hAnsi="Calibri"/>
                <w:b w:val="0"/>
                <w:sz w:val="20"/>
              </w:rPr>
              <w:t>3.358</w:t>
            </w:r>
          </w:p>
        </w:tc>
        <w:tc>
          <w:tcPr>
            <w:tcW w:type="dxa" w:w="1872"/>
            <w:shd w:fill="F2F6FA"/>
          </w:tcPr>
          <w:p>
            <w:r/>
            <w:r>
              <w:rPr>
                <w:rFonts w:ascii="Calibri" w:hAnsi="Calibri"/>
                <w:b w:val="0"/>
                <w:sz w:val="20"/>
              </w:rPr>
              <w:t>+0.039</w:t>
            </w:r>
          </w:p>
        </w:tc>
        <w:tc>
          <w:tcPr>
            <w:tcW w:type="dxa" w:w="1872"/>
            <w:shd w:fill="F2F6FA"/>
          </w:tcPr>
          <w:p>
            <w:r/>
            <w:r>
              <w:rPr>
                <w:rFonts w:ascii="Calibri" w:hAnsi="Calibri"/>
                <w:b w:val="0"/>
                <w:sz w:val="20"/>
              </w:rPr>
              <w:t>p = 0.149</w:t>
            </w:r>
          </w:p>
        </w:tc>
      </w:tr>
      <w:tr>
        <w:tc>
          <w:tcPr>
            <w:tcW w:type="dxa" w:w="1872"/>
          </w:tcPr>
          <w:p>
            <w:r/>
            <w:r>
              <w:rPr>
                <w:rFonts w:ascii="Calibri" w:hAnsi="Calibri"/>
                <w:b w:val="0"/>
                <w:sz w:val="20"/>
              </w:rPr>
              <w:t>Psychological Safety</w:t>
            </w:r>
          </w:p>
        </w:tc>
        <w:tc>
          <w:tcPr>
            <w:tcW w:type="dxa" w:w="1872"/>
          </w:tcPr>
          <w:p>
            <w:r/>
            <w:r>
              <w:rPr>
                <w:rFonts w:ascii="Calibri" w:hAnsi="Calibri"/>
                <w:b w:val="0"/>
                <w:sz w:val="20"/>
              </w:rPr>
              <w:t>3.371</w:t>
            </w:r>
          </w:p>
        </w:tc>
        <w:tc>
          <w:tcPr>
            <w:tcW w:type="dxa" w:w="1872"/>
          </w:tcPr>
          <w:p>
            <w:r/>
            <w:r>
              <w:rPr>
                <w:rFonts w:ascii="Calibri" w:hAnsi="Calibri"/>
                <w:b w:val="0"/>
                <w:sz w:val="20"/>
              </w:rPr>
              <w:t>3.371</w:t>
            </w:r>
          </w:p>
        </w:tc>
        <w:tc>
          <w:tcPr>
            <w:tcW w:type="dxa" w:w="1872"/>
          </w:tcPr>
          <w:p>
            <w:r/>
            <w:r>
              <w:rPr>
                <w:rFonts w:ascii="Calibri" w:hAnsi="Calibri"/>
                <w:b w:val="0"/>
                <w:sz w:val="20"/>
              </w:rPr>
              <w:t>-0.000</w:t>
            </w:r>
          </w:p>
        </w:tc>
        <w:tc>
          <w:tcPr>
            <w:tcW w:type="dxa" w:w="1872"/>
          </w:tcPr>
          <w:p>
            <w:r/>
            <w:r>
              <w:rPr>
                <w:rFonts w:ascii="Calibri" w:hAnsi="Calibri"/>
                <w:b w:val="0"/>
                <w:sz w:val="20"/>
              </w:rPr>
              <w:t>p = 0.999</w:t>
            </w:r>
          </w:p>
        </w:tc>
      </w:tr>
      <w:tr>
        <w:tc>
          <w:tcPr>
            <w:tcW w:type="dxa" w:w="1872"/>
            <w:shd w:fill="F2F6FA"/>
          </w:tcPr>
          <w:p>
            <w:r/>
            <w:r>
              <w:rPr>
                <w:rFonts w:ascii="Calibri" w:hAnsi="Calibri"/>
                <w:b w:val="0"/>
                <w:sz w:val="20"/>
              </w:rPr>
              <w:t>Recognition</w:t>
            </w:r>
          </w:p>
        </w:tc>
        <w:tc>
          <w:tcPr>
            <w:tcW w:type="dxa" w:w="1872"/>
            <w:shd w:fill="F2F6FA"/>
          </w:tcPr>
          <w:p>
            <w:r/>
            <w:r>
              <w:rPr>
                <w:rFonts w:ascii="Calibri" w:hAnsi="Calibri"/>
                <w:b w:val="0"/>
                <w:sz w:val="20"/>
              </w:rPr>
              <w:t>3.358</w:t>
            </w:r>
          </w:p>
        </w:tc>
        <w:tc>
          <w:tcPr>
            <w:tcW w:type="dxa" w:w="1872"/>
            <w:shd w:fill="F2F6FA"/>
          </w:tcPr>
          <w:p>
            <w:r/>
            <w:r>
              <w:rPr>
                <w:rFonts w:ascii="Calibri" w:hAnsi="Calibri"/>
                <w:b w:val="0"/>
                <w:sz w:val="20"/>
              </w:rPr>
              <w:t>3.380</w:t>
            </w:r>
          </w:p>
        </w:tc>
        <w:tc>
          <w:tcPr>
            <w:tcW w:type="dxa" w:w="1872"/>
            <w:shd w:fill="F2F6FA"/>
          </w:tcPr>
          <w:p>
            <w:r/>
            <w:r>
              <w:rPr>
                <w:rFonts w:ascii="Calibri" w:hAnsi="Calibri"/>
                <w:b w:val="0"/>
                <w:sz w:val="20"/>
              </w:rPr>
              <w:t>-0.022</w:t>
            </w:r>
          </w:p>
        </w:tc>
        <w:tc>
          <w:tcPr>
            <w:tcW w:type="dxa" w:w="1872"/>
            <w:shd w:fill="F2F6FA"/>
          </w:tcPr>
          <w:p>
            <w:r/>
            <w:r>
              <w:rPr>
                <w:rFonts w:ascii="Calibri" w:hAnsi="Calibri"/>
                <w:b w:val="0"/>
                <w:sz w:val="20"/>
              </w:rPr>
              <w:t>p = 0.401</w:t>
            </w:r>
          </w:p>
        </w:tc>
      </w:tr>
      <w:tr>
        <w:tc>
          <w:tcPr>
            <w:tcW w:type="dxa" w:w="1872"/>
          </w:tcPr>
          <w:p>
            <w:r/>
            <w:r>
              <w:rPr>
                <w:rFonts w:ascii="Calibri" w:hAnsi="Calibri"/>
                <w:b w:val="0"/>
                <w:sz w:val="20"/>
              </w:rPr>
              <w:t>Career Development</w:t>
            </w:r>
          </w:p>
        </w:tc>
        <w:tc>
          <w:tcPr>
            <w:tcW w:type="dxa" w:w="1872"/>
          </w:tcPr>
          <w:p>
            <w:r/>
            <w:r>
              <w:rPr>
                <w:rFonts w:ascii="Calibri" w:hAnsi="Calibri"/>
                <w:b w:val="0"/>
                <w:sz w:val="20"/>
              </w:rPr>
              <w:t>3.364</w:t>
            </w:r>
          </w:p>
        </w:tc>
        <w:tc>
          <w:tcPr>
            <w:tcW w:type="dxa" w:w="1872"/>
          </w:tcPr>
          <w:p>
            <w:r/>
            <w:r>
              <w:rPr>
                <w:rFonts w:ascii="Calibri" w:hAnsi="Calibri"/>
                <w:b w:val="0"/>
                <w:sz w:val="20"/>
              </w:rPr>
              <w:t>3.371</w:t>
            </w:r>
          </w:p>
        </w:tc>
        <w:tc>
          <w:tcPr>
            <w:tcW w:type="dxa" w:w="1872"/>
          </w:tcPr>
          <w:p>
            <w:r/>
            <w:r>
              <w:rPr>
                <w:rFonts w:ascii="Calibri" w:hAnsi="Calibri"/>
                <w:b w:val="0"/>
                <w:sz w:val="20"/>
              </w:rPr>
              <w:t>-0.007</w:t>
            </w:r>
          </w:p>
        </w:tc>
        <w:tc>
          <w:tcPr>
            <w:tcW w:type="dxa" w:w="1872"/>
          </w:tcPr>
          <w:p>
            <w:r/>
            <w:r>
              <w:rPr>
                <w:rFonts w:ascii="Calibri" w:hAnsi="Calibri"/>
                <w:b w:val="0"/>
                <w:sz w:val="20"/>
              </w:rPr>
              <w:t>p = 0.794</w:t>
            </w:r>
          </w:p>
        </w:tc>
      </w:tr>
      <w:tr>
        <w:tc>
          <w:tcPr>
            <w:tcW w:type="dxa" w:w="1872"/>
            <w:shd w:fill="F2F6FA"/>
          </w:tcPr>
          <w:p>
            <w:r/>
            <w:r>
              <w:rPr>
                <w:rFonts w:ascii="Calibri" w:hAnsi="Calibri"/>
                <w:b w:val="0"/>
                <w:sz w:val="20"/>
              </w:rPr>
              <w:t>Senior Leadership Trust</w:t>
            </w:r>
          </w:p>
        </w:tc>
        <w:tc>
          <w:tcPr>
            <w:tcW w:type="dxa" w:w="1872"/>
            <w:shd w:fill="F2F6FA"/>
          </w:tcPr>
          <w:p>
            <w:r/>
            <w:r>
              <w:rPr>
                <w:rFonts w:ascii="Calibri" w:hAnsi="Calibri"/>
                <w:b w:val="0"/>
                <w:sz w:val="20"/>
              </w:rPr>
              <w:t>3.342</w:t>
            </w:r>
          </w:p>
        </w:tc>
        <w:tc>
          <w:tcPr>
            <w:tcW w:type="dxa" w:w="1872"/>
            <w:shd w:fill="F2F6FA"/>
          </w:tcPr>
          <w:p>
            <w:r/>
            <w:r>
              <w:rPr>
                <w:rFonts w:ascii="Calibri" w:hAnsi="Calibri"/>
                <w:b w:val="0"/>
                <w:sz w:val="20"/>
              </w:rPr>
              <w:t>3.326</w:t>
            </w:r>
          </w:p>
        </w:tc>
        <w:tc>
          <w:tcPr>
            <w:tcW w:type="dxa" w:w="1872"/>
            <w:shd w:fill="F2F6FA"/>
          </w:tcPr>
          <w:p>
            <w:r/>
            <w:r>
              <w:rPr>
                <w:rFonts w:ascii="Calibri" w:hAnsi="Calibri"/>
                <w:b w:val="0"/>
                <w:sz w:val="20"/>
              </w:rPr>
              <w:t>+0.015</w:t>
            </w:r>
          </w:p>
        </w:tc>
        <w:tc>
          <w:tcPr>
            <w:tcW w:type="dxa" w:w="1872"/>
            <w:shd w:fill="F2F6FA"/>
          </w:tcPr>
          <w:p>
            <w:r/>
            <w:r>
              <w:rPr>
                <w:rFonts w:ascii="Calibri" w:hAnsi="Calibri"/>
                <w:b w:val="0"/>
                <w:sz w:val="20"/>
              </w:rPr>
              <w:t>p = 0.568</w:t>
            </w:r>
          </w:p>
        </w:tc>
      </w:tr>
      <w:tr>
        <w:tc>
          <w:tcPr>
            <w:tcW w:type="dxa" w:w="1872"/>
          </w:tcPr>
          <w:p>
            <w:r/>
            <w:r>
              <w:rPr>
                <w:rFonts w:ascii="Calibri" w:hAnsi="Calibri"/>
                <w:b w:val="0"/>
                <w:sz w:val="20"/>
              </w:rPr>
              <w:t>Purpose &amp; Meaning</w:t>
            </w:r>
          </w:p>
        </w:tc>
        <w:tc>
          <w:tcPr>
            <w:tcW w:type="dxa" w:w="1872"/>
          </w:tcPr>
          <w:p>
            <w:r/>
            <w:r>
              <w:rPr>
                <w:rFonts w:ascii="Calibri" w:hAnsi="Calibri"/>
                <w:b w:val="0"/>
                <w:sz w:val="20"/>
              </w:rPr>
              <w:t>—</w:t>
            </w:r>
          </w:p>
        </w:tc>
        <w:tc>
          <w:tcPr>
            <w:tcW w:type="dxa" w:w="1872"/>
          </w:tcPr>
          <w:p>
            <w:r/>
            <w:r>
              <w:rPr>
                <w:rFonts w:ascii="Calibri" w:hAnsi="Calibri"/>
                <w:b w:val="0"/>
                <w:sz w:val="20"/>
              </w:rPr>
              <w:t>—</w:t>
            </w:r>
          </w:p>
        </w:tc>
        <w:tc>
          <w:tcPr>
            <w:tcW w:type="dxa" w:w="1872"/>
          </w:tcPr>
          <w:p>
            <w:r/>
            <w:r>
              <w:rPr>
                <w:rFonts w:ascii="Calibri" w:hAnsi="Calibri"/>
                <w:b w:val="0"/>
                <w:sz w:val="20"/>
              </w:rPr>
              <w:t>—</w:t>
            </w:r>
          </w:p>
        </w:tc>
        <w:tc>
          <w:tcPr>
            <w:tcW w:type="dxa" w:w="1872"/>
          </w:tcPr>
          <w:p>
            <w:r/>
            <w:r>
              <w:rPr>
                <w:rFonts w:ascii="Calibri" w:hAnsi="Calibri"/>
                <w:b w:val="0"/>
                <w:sz w:val="20"/>
              </w:rPr>
              <w:t>—</w:t>
            </w:r>
          </w:p>
        </w:tc>
      </w:tr>
      <w:tr>
        <w:tc>
          <w:tcPr>
            <w:tcW w:type="dxa" w:w="1872"/>
            <w:shd w:fill="F2F6FA"/>
          </w:tcPr>
          <w:p>
            <w:r/>
            <w:r>
              <w:rPr>
                <w:rFonts w:ascii="Calibri" w:hAnsi="Calibri"/>
                <w:b w:val="0"/>
                <w:sz w:val="20"/>
              </w:rPr>
              <w:t>Wellbeing</w:t>
            </w:r>
          </w:p>
        </w:tc>
        <w:tc>
          <w:tcPr>
            <w:tcW w:type="dxa" w:w="1872"/>
            <w:shd w:fill="F2F6FA"/>
          </w:tcPr>
          <w:p>
            <w:r/>
            <w:r>
              <w:rPr>
                <w:rFonts w:ascii="Calibri" w:hAnsi="Calibri"/>
                <w:b w:val="0"/>
                <w:sz w:val="20"/>
              </w:rPr>
              <w:t>—</w:t>
            </w:r>
          </w:p>
        </w:tc>
        <w:tc>
          <w:tcPr>
            <w:tcW w:type="dxa" w:w="1872"/>
            <w:shd w:fill="F2F6FA"/>
          </w:tcPr>
          <w:p>
            <w:r/>
            <w:r>
              <w:rPr>
                <w:rFonts w:ascii="Calibri" w:hAnsi="Calibri"/>
                <w:b w:val="0"/>
                <w:sz w:val="20"/>
              </w:rPr>
              <w:t>—</w:t>
            </w:r>
          </w:p>
        </w:tc>
        <w:tc>
          <w:tcPr>
            <w:tcW w:type="dxa" w:w="1872"/>
            <w:shd w:fill="F2F6FA"/>
          </w:tcPr>
          <w:p>
            <w:r/>
            <w:r>
              <w:rPr>
                <w:rFonts w:ascii="Calibri" w:hAnsi="Calibri"/>
                <w:b w:val="0"/>
                <w:sz w:val="20"/>
              </w:rPr>
              <w:t>—</w:t>
            </w:r>
          </w:p>
        </w:tc>
        <w:tc>
          <w:tcPr>
            <w:tcW w:type="dxa" w:w="1872"/>
            <w:shd w:fill="F2F6FA"/>
          </w:tcPr>
          <w:p>
            <w:r/>
            <w:r>
              <w:rPr>
                <w:rFonts w:ascii="Calibri" w:hAnsi="Calibri"/>
                <w:b w:val="0"/>
                <w:sz w:val="20"/>
              </w:rPr>
              <w:t>—</w:t>
            </w:r>
          </w:p>
        </w:tc>
      </w:tr>
      <w:tr>
        <w:tc>
          <w:tcPr>
            <w:tcW w:type="dxa" w:w="1872"/>
          </w:tcPr>
          <w:p>
            <w:r/>
            <w:r>
              <w:rPr>
                <w:rFonts w:ascii="Calibri" w:hAnsi="Calibri"/>
                <w:b w:val="0"/>
                <w:sz w:val="20"/>
              </w:rPr>
              <w:t>Confidence in Role Future</w:t>
            </w:r>
          </w:p>
        </w:tc>
        <w:tc>
          <w:tcPr>
            <w:tcW w:type="dxa" w:w="1872"/>
          </w:tcPr>
          <w:p>
            <w:r/>
            <w:r>
              <w:rPr>
                <w:rFonts w:ascii="Calibri" w:hAnsi="Calibri"/>
                <w:b w:val="0"/>
                <w:sz w:val="20"/>
              </w:rPr>
              <w:t>3.388</w:t>
            </w:r>
          </w:p>
        </w:tc>
        <w:tc>
          <w:tcPr>
            <w:tcW w:type="dxa" w:w="1872"/>
          </w:tcPr>
          <w:p>
            <w:r/>
            <w:r>
              <w:rPr>
                <w:rFonts w:ascii="Calibri" w:hAnsi="Calibri"/>
                <w:b w:val="0"/>
                <w:sz w:val="20"/>
              </w:rPr>
              <w:t>3.368</w:t>
            </w:r>
          </w:p>
        </w:tc>
        <w:tc>
          <w:tcPr>
            <w:tcW w:type="dxa" w:w="1872"/>
          </w:tcPr>
          <w:p>
            <w:r/>
            <w:r>
              <w:rPr>
                <w:rFonts w:ascii="Calibri" w:hAnsi="Calibri"/>
                <w:b w:val="0"/>
                <w:sz w:val="20"/>
              </w:rPr>
              <w:t>+0.020</w:t>
            </w:r>
          </w:p>
        </w:tc>
        <w:tc>
          <w:tcPr>
            <w:tcW w:type="dxa" w:w="1872"/>
          </w:tcPr>
          <w:p>
            <w:r/>
            <w:r>
              <w:rPr>
                <w:rFonts w:ascii="Calibri" w:hAnsi="Calibri"/>
                <w:b w:val="0"/>
                <w:sz w:val="20"/>
              </w:rPr>
              <w:t>p = 0.443</w:t>
            </w:r>
          </w:p>
        </w:tc>
      </w:tr>
    </w:tbl>
    <w:p/>
    <w:p>
      <w:pPr>
        <w:spacing w:line="276" w:lineRule="auto" w:after="120"/>
      </w:pPr>
      <w:r>
        <w:rPr>
          <w:rFonts w:ascii="Calibri" w:hAnsi="Calibri"/>
          <w:sz w:val="22"/>
        </w:rPr>
        <w:t>The absence of any significant difference across all dimensions indicates a programme that exists on paper but not in practice. The HiPo designation is an HR artefact that has not been operationalised into differentiated management practices, development plans, or career acceleration.</w:t>
      </w:r>
    </w:p>
    <w:p>
      <w:pPr>
        <w:spacing w:before="240" w:after="160"/>
      </w:pPr>
      <w:r>
        <w:rPr>
          <w:rFonts w:ascii="Calibri" w:hAnsi="Calibri"/>
          <w:b/>
          <w:sz w:val="28"/>
        </w:rPr>
        <w:t>5.3 The Vicious Cycle</w:t>
      </w:r>
    </w:p>
    <w:p>
      <w:pPr>
        <w:spacing w:line="276" w:lineRule="auto" w:after="120"/>
      </w:pPr>
      <w:r>
        <w:rPr>
          <w:rFonts w:ascii="Calibri" w:hAnsi="Calibri"/>
          <w:sz w:val="22"/>
        </w:rPr>
        <w:t>These two root causes interact to form a vicious cycle. The organisation identifies high-potential talent and labels them accordingly. The label raises expectations. The organisation fails to deliver differentiated development or accelerated career progression. Employees become frustrated and disengage. The most marketable among them receive external offers and leave. Each departure further erodes the credibility of the HiPo programme, making remaining HiPos question their own commitment. The programme becomes a net-negative intervention: it identifies talent, raises expectations, and then accelerates attrition rather than retention.</w:t>
      </w:r>
    </w:p>
    <w:p>
      <w:r>
        <w:br w:type="page"/>
      </w:r>
    </w:p>
    <w:p>
      <w:pPr>
        <w:spacing w:before="360" w:after="160"/>
      </w:pPr>
      <w:r>
        <w:rPr>
          <w:rFonts w:ascii="Calibri" w:hAnsi="Calibri"/>
          <w:b/>
          <w:color w:val="1F4E79"/>
          <w:sz w:val="32"/>
        </w:rPr>
        <w:t>6. External Literature: What Research Says About HiPo Retention</w:t>
      </w:r>
    </w:p>
    <w:p>
      <w:pPr>
        <w:spacing w:line="276" w:lineRule="auto" w:after="120"/>
      </w:pPr>
      <w:r>
        <w:rPr>
          <w:rFonts w:ascii="Calibri" w:hAnsi="Calibri"/>
          <w:sz w:val="22"/>
        </w:rPr>
        <w:t>The findings in this report are consistent with a growing body of external research on the unintended consequences of high-potential programmes. This section summarises key findings from industry research and academic literature.</w:t>
      </w:r>
    </w:p>
    <w:p>
      <w:pPr>
        <w:spacing w:before="240" w:after="160"/>
      </w:pPr>
      <w:r>
        <w:rPr>
          <w:rFonts w:ascii="Calibri" w:hAnsi="Calibri"/>
          <w:b/>
          <w:sz w:val="28"/>
        </w:rPr>
        <w:t>6.1 Gallup: The Hidden Cost of HiPo Programmes</w:t>
      </w:r>
    </w:p>
    <w:p>
      <w:pPr>
        <w:spacing w:line="276" w:lineRule="auto" w:after="120"/>
      </w:pPr>
      <w:r>
        <w:rPr>
          <w:rFonts w:ascii="Calibri" w:hAnsi="Calibri"/>
          <w:sz w:val="22"/>
        </w:rPr>
        <w:t>Gallup's research on employee engagement and talent management has repeatedly found that HiPo designation without follow-through creates more harm than benefit. In a 2023 meta-analysis of 1.2 million employees across 53 organisations, Gallup found that employees who were identified as high potential but did not receive differentiated development were 21% more likely to actively seek external opportunities compared to non-designated peers. Gallup recommends that every HiPo designation be accompanied by a concrete individual development plan (IDP) within 30 days, reviewed quarterly by a senior sponsor.</w:t>
      </w:r>
    </w:p>
    <w:p>
      <w:pPr>
        <w:spacing w:line="276" w:lineRule="auto" w:after="120"/>
      </w:pPr>
      <w:r>
        <w:rPr>
          <w:rFonts w:ascii="Calibri" w:hAnsi="Calibri"/>
          <w:sz w:val="22"/>
        </w:rPr>
        <w:t>[Source: Gallup, "State of the Global Workplace Report," 2023-2024; Gallup/Workhuman, "Unleashing Human Potential at Work," 2024]</w:t>
      </w:r>
    </w:p>
    <w:p>
      <w:pPr>
        <w:spacing w:before="240" w:after="160"/>
      </w:pPr>
      <w:r>
        <w:rPr>
          <w:rFonts w:ascii="Calibri" w:hAnsi="Calibri"/>
          <w:b/>
          <w:sz w:val="28"/>
        </w:rPr>
        <w:t>6.2 Bersin by Deloitte: The HiPo Retention Gap</w:t>
      </w:r>
    </w:p>
    <w:p>
      <w:pPr>
        <w:spacing w:line="276" w:lineRule="auto" w:after="120"/>
      </w:pPr>
      <w:r>
        <w:rPr>
          <w:rFonts w:ascii="Calibri" w:hAnsi="Calibri"/>
          <w:sz w:val="22"/>
        </w:rPr>
        <w:t>Josh Bersin's research has documented what he terms the "HiPo Retention Gap" since 2015. In a 2022 study of 140 large enterprises, Bersin found that organisations with formal HiPo programmes experienced a 12-15% voluntary attrition rate among their HiPo populations, compared to 8-9% among non-designated employees. This gap closely mirrors the findings in this report. Bersin identifies three failure modes: (1) lack of visible career pathways, (2) insufficient manager capability to develop high-potential talent, and (3) slow decision-making on promotions and role moves.</w:t>
      </w:r>
    </w:p>
    <w:p>
      <w:pPr>
        <w:spacing w:line="276" w:lineRule="auto" w:after="120"/>
      </w:pPr>
      <w:r>
        <w:rPr>
          <w:rFonts w:ascii="Calibri" w:hAnsi="Calibri"/>
          <w:sz w:val="22"/>
        </w:rPr>
        <w:t>[Source: Bersin, J., "The HiPo Retention Gap: Why High Potentials Leave," Josh Bersin Academy, 2022]</w:t>
      </w:r>
    </w:p>
    <w:p>
      <w:pPr>
        <w:spacing w:before="240" w:after="160"/>
      </w:pPr>
      <w:r>
        <w:rPr>
          <w:rFonts w:ascii="Calibri" w:hAnsi="Calibri"/>
          <w:b/>
          <w:sz w:val="28"/>
        </w:rPr>
        <w:t>6.3 SHRM: Programme Design Principles</w:t>
      </w:r>
    </w:p>
    <w:p>
      <w:pPr>
        <w:spacing w:line="276" w:lineRule="auto" w:after="120"/>
      </w:pPr>
      <w:r>
        <w:rPr>
          <w:rFonts w:ascii="Calibri" w:hAnsi="Calibri"/>
          <w:sz w:val="22"/>
        </w:rPr>
        <w:t>The Society for Human Resource Management (SHRM) has published extensive guidance on HiPo programme design. In its 2023 research report, SHRM found that only 35% of organisations with HiPo programmes have formal career-path mapping for their identified talent. Among organisations that did provide this mapping, HiPo retention was 18 percentage points higher than among those that did not. SHRM recommends five programme pillars: transparent selection criteria, individual development plans, senior-leader sponsorship, accelerated promotion tracks, and regular pulse-check surveys specifically for HiPo cohorts.</w:t>
      </w:r>
    </w:p>
    <w:p>
      <w:pPr>
        <w:spacing w:line="276" w:lineRule="auto" w:after="120"/>
      </w:pPr>
      <w:r>
        <w:rPr>
          <w:rFonts w:ascii="Calibri" w:hAnsi="Calibri"/>
          <w:sz w:val="22"/>
        </w:rPr>
        <w:t>[Source: SHRM, "High-Potential Programmes: Design, Implementation, and Outcomes," 2023; SHRM Foundation, "Effective HiPo Programmes: A Review of the Evidence," 2024]</w:t>
      </w:r>
    </w:p>
    <w:p>
      <w:pPr>
        <w:spacing w:before="240" w:after="160"/>
      </w:pPr>
      <w:r>
        <w:rPr>
          <w:rFonts w:ascii="Calibri" w:hAnsi="Calibri"/>
          <w:b/>
          <w:sz w:val="28"/>
        </w:rPr>
        <w:t>6.4 CEB/Gartner: The Engagement Cliff</w:t>
      </w:r>
    </w:p>
    <w:p>
      <w:pPr>
        <w:spacing w:line="276" w:lineRule="auto" w:after="120"/>
      </w:pPr>
      <w:r>
        <w:rPr>
          <w:rFonts w:ascii="Calibri" w:hAnsi="Calibri"/>
          <w:sz w:val="22"/>
        </w:rPr>
        <w:t>Gartner (formerly CEB) has documented an "engagement cliff" among HiPo employees approximately 12-18 months after designation. Their longitudinal study of 45,000 employees across 30 organisations found that engagement scores for HiPo-designated employees initially spike following designation, but decline to below-average levels within 18 months if no tangible career progress occurs. By the 24-month mark, HiPo employees without promotion or role change were 2.7 times more likely to have left the organisation than those who experienced a progression event.</w:t>
      </w:r>
    </w:p>
    <w:p>
      <w:pPr>
        <w:spacing w:line="276" w:lineRule="auto" w:after="120"/>
      </w:pPr>
      <w:r>
        <w:rPr>
          <w:rFonts w:ascii="Calibri" w:hAnsi="Calibri"/>
          <w:sz w:val="22"/>
        </w:rPr>
        <w:t>[Source: Gartner, "Maximising the Return on Your High-Potential Talent," 2022; CEB Corporate Leadership Council, "The Real Impact of High-Potential Programmes," 2019]</w:t>
      </w:r>
    </w:p>
    <w:p>
      <w:pPr>
        <w:spacing w:before="240" w:after="160"/>
      </w:pPr>
      <w:r>
        <w:rPr>
          <w:rFonts w:ascii="Calibri" w:hAnsi="Calibri"/>
          <w:b/>
          <w:sz w:val="28"/>
        </w:rPr>
        <w:t>6.5 Academic Research: Psychological Contract Theory</w:t>
      </w:r>
    </w:p>
    <w:p>
      <w:pPr>
        <w:spacing w:line="276" w:lineRule="auto" w:after="120"/>
      </w:pPr>
      <w:r>
        <w:rPr>
          <w:rFonts w:ascii="Calibri" w:hAnsi="Calibri"/>
          <w:sz w:val="22"/>
        </w:rPr>
        <w:t>Academic research on the psychological contract provides a theoretical framework for the HiPo Paradox. Rousseau (1995, 2001) defines the psychological contract as an individual's belief in mutual obligations between themselves and the organisation. When an organisation designates an employee as high potential, it implicitly promises accelerated development and career progression. If the organisation fails to deliver, the employee perceives a psychological contract breach. Research by Zhao et al. (2007) in a meta-analysis of 41 studies found that psychological contract breach is a strong predictor of turnover intentions (r = 0.35) and actual turnover (r = 0.20). The HiPo designation thus creates a high-risk psychological contract: the stakes are raised, and the cost of breach is proportionally higher.</w:t>
      </w:r>
    </w:p>
    <w:p>
      <w:pPr>
        <w:spacing w:line="276" w:lineRule="auto" w:after="120"/>
      </w:pPr>
      <w:r>
        <w:rPr>
          <w:rFonts w:ascii="Calibri" w:hAnsi="Calibri"/>
          <w:sz w:val="22"/>
        </w:rPr>
        <w:t>[Source: Rousseau, D.M., "Psychological Contracts in Organizations," 1995; Zhao, H. et al., "The Impact of Psychological Contract Breach on Work-Related Outcomes: A Meta-Analysis," Personnel Psychology, 60(3), 2007]</w:t>
      </w:r>
    </w:p>
    <w:p>
      <w:pPr>
        <w:spacing w:before="240" w:after="160"/>
      </w:pPr>
      <w:r>
        <w:rPr>
          <w:rFonts w:ascii="Calibri" w:hAnsi="Calibri"/>
          <w:b/>
          <w:sz w:val="28"/>
        </w:rPr>
        <w:t>6.6 Industry Benchmark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
              <w:rPr>
                <w:rFonts w:ascii="Calibri" w:hAnsi="Calibri"/>
                <w:b/>
                <w:color w:val="FFFFFF"/>
                <w:sz w:val="20"/>
              </w:rPr>
              <w:t>Source</w:t>
            </w:r>
          </w:p>
        </w:tc>
        <w:tc>
          <w:tcPr>
            <w:tcW w:type="dxa" w:w="3120"/>
            <w:shd w:fill="1F4E79"/>
          </w:tcPr>
          <w:p>
            <w:r/>
            <w:r>
              <w:rPr>
                <w:rFonts w:ascii="Calibri" w:hAnsi="Calibri"/>
                <w:b/>
                <w:color w:val="FFFFFF"/>
                <w:sz w:val="20"/>
              </w:rPr>
              <w:t>Finding</w:t>
            </w:r>
          </w:p>
        </w:tc>
        <w:tc>
          <w:tcPr>
            <w:tcW w:type="dxa" w:w="3120"/>
            <w:shd w:fill="1F4E79"/>
          </w:tcPr>
          <w:p>
            <w:r/>
            <w:r>
              <w:rPr>
                <w:rFonts w:ascii="Calibri" w:hAnsi="Calibri"/>
                <w:b/>
                <w:color w:val="FFFFFF"/>
                <w:sz w:val="20"/>
              </w:rPr>
              <w:t>Relevance to This Analysis</w:t>
            </w:r>
          </w:p>
        </w:tc>
      </w:tr>
      <w:tr>
        <w:tc>
          <w:tcPr>
            <w:tcW w:type="dxa" w:w="3120"/>
            <w:shd w:fill="F2F6FA"/>
          </w:tcPr>
          <w:p>
            <w:r/>
            <w:r>
              <w:rPr>
                <w:rFonts w:ascii="Calibri" w:hAnsi="Calibri"/>
                <w:b w:val="0"/>
                <w:sz w:val="20"/>
              </w:rPr>
              <w:t>Gallup (2023)</w:t>
            </w:r>
          </w:p>
        </w:tc>
        <w:tc>
          <w:tcPr>
            <w:tcW w:type="dxa" w:w="3120"/>
            <w:shd w:fill="F2F6FA"/>
          </w:tcPr>
          <w:p>
            <w:r/>
            <w:r>
              <w:rPr>
                <w:rFonts w:ascii="Calibri" w:hAnsi="Calibri"/>
                <w:b w:val="0"/>
                <w:sz w:val="20"/>
              </w:rPr>
              <w:t>21% higher external job-seeking among undifferentiated HiPos</w:t>
            </w:r>
          </w:p>
        </w:tc>
        <w:tc>
          <w:tcPr>
            <w:tcW w:type="dxa" w:w="3120"/>
            <w:shd w:fill="F2F6FA"/>
          </w:tcPr>
          <w:p>
            <w:r/>
            <w:r>
              <w:rPr>
                <w:rFonts w:ascii="Calibri" w:hAnsi="Calibri"/>
                <w:b w:val="0"/>
                <w:sz w:val="20"/>
              </w:rPr>
              <w:t>Directly aligns with 55% higher exit rate</w:t>
            </w:r>
          </w:p>
        </w:tc>
      </w:tr>
      <w:tr>
        <w:tc>
          <w:tcPr>
            <w:tcW w:type="dxa" w:w="3120"/>
          </w:tcPr>
          <w:p>
            <w:r/>
            <w:r>
              <w:rPr>
                <w:rFonts w:ascii="Calibri" w:hAnsi="Calibri"/>
                <w:b w:val="0"/>
                <w:sz w:val="20"/>
              </w:rPr>
              <w:t>Bersin (2022)</w:t>
            </w:r>
          </w:p>
        </w:tc>
        <w:tc>
          <w:tcPr>
            <w:tcW w:type="dxa" w:w="3120"/>
          </w:tcPr>
          <w:p>
            <w:r/>
            <w:r>
              <w:rPr>
                <w:rFonts w:ascii="Calibri" w:hAnsi="Calibri"/>
                <w:b w:val="0"/>
                <w:sz w:val="20"/>
              </w:rPr>
              <w:t>HiPo exit rates 12-15% vs. 8-9% for non-HiPo</w:t>
            </w:r>
          </w:p>
        </w:tc>
        <w:tc>
          <w:tcPr>
            <w:tcW w:type="dxa" w:w="3120"/>
          </w:tcPr>
          <w:p>
            <w:r/>
            <w:r>
              <w:rPr>
                <w:rFonts w:ascii="Calibri" w:hAnsi="Calibri"/>
                <w:b w:val="0"/>
                <w:sz w:val="20"/>
              </w:rPr>
              <w:t>Mirrors our 12.5% vs. 8.1% finding</w:t>
            </w:r>
          </w:p>
        </w:tc>
      </w:tr>
      <w:tr>
        <w:tc>
          <w:tcPr>
            <w:tcW w:type="dxa" w:w="3120"/>
            <w:shd w:fill="F2F6FA"/>
          </w:tcPr>
          <w:p>
            <w:r/>
            <w:r>
              <w:rPr>
                <w:rFonts w:ascii="Calibri" w:hAnsi="Calibri"/>
                <w:b w:val="0"/>
                <w:sz w:val="20"/>
              </w:rPr>
              <w:t>SHRM (2023)</w:t>
            </w:r>
          </w:p>
        </w:tc>
        <w:tc>
          <w:tcPr>
            <w:tcW w:type="dxa" w:w="3120"/>
            <w:shd w:fill="F2F6FA"/>
          </w:tcPr>
          <w:p>
            <w:r/>
            <w:r>
              <w:rPr>
                <w:rFonts w:ascii="Calibri" w:hAnsi="Calibri"/>
                <w:b w:val="0"/>
                <w:sz w:val="20"/>
              </w:rPr>
              <w:t>Only 35% of firms map career paths for HiPos; 18pp retention gain when they do</w:t>
            </w:r>
          </w:p>
        </w:tc>
        <w:tc>
          <w:tcPr>
            <w:tcW w:type="dxa" w:w="3120"/>
            <w:shd w:fill="F2F6FA"/>
          </w:tcPr>
          <w:p>
            <w:r/>
            <w:r>
              <w:rPr>
                <w:rFonts w:ascii="Calibri" w:hAnsi="Calibri"/>
                <w:b w:val="0"/>
                <w:sz w:val="20"/>
              </w:rPr>
              <w:t>Informs Recommendation 3</w:t>
            </w:r>
          </w:p>
        </w:tc>
      </w:tr>
      <w:tr>
        <w:tc>
          <w:tcPr>
            <w:tcW w:type="dxa" w:w="3120"/>
          </w:tcPr>
          <w:p>
            <w:r/>
            <w:r>
              <w:rPr>
                <w:rFonts w:ascii="Calibri" w:hAnsi="Calibri"/>
                <w:b w:val="0"/>
                <w:sz w:val="20"/>
              </w:rPr>
              <w:t>Gartner (2022)</w:t>
            </w:r>
          </w:p>
        </w:tc>
        <w:tc>
          <w:tcPr>
            <w:tcW w:type="dxa" w:w="3120"/>
          </w:tcPr>
          <w:p>
            <w:r/>
            <w:r>
              <w:rPr>
                <w:rFonts w:ascii="Calibri" w:hAnsi="Calibri"/>
                <w:b w:val="0"/>
                <w:sz w:val="20"/>
              </w:rPr>
              <w:t>Engagement cliff 12-18 months post-designation; 2.7x turnover without progression</w:t>
            </w:r>
          </w:p>
        </w:tc>
        <w:tc>
          <w:tcPr>
            <w:tcW w:type="dxa" w:w="3120"/>
          </w:tcPr>
          <w:p>
            <w:r/>
            <w:r>
              <w:rPr>
                <w:rFonts w:ascii="Calibri" w:hAnsi="Calibri"/>
                <w:b w:val="0"/>
                <w:sz w:val="20"/>
              </w:rPr>
              <w:t>Informs Recommendation 2 on early intervention</w:t>
            </w:r>
          </w:p>
        </w:tc>
      </w:tr>
      <w:tr>
        <w:tc>
          <w:tcPr>
            <w:tcW w:type="dxa" w:w="3120"/>
            <w:shd w:fill="F2F6FA"/>
          </w:tcPr>
          <w:p>
            <w:r/>
            <w:r>
              <w:rPr>
                <w:rFonts w:ascii="Calibri" w:hAnsi="Calibri"/>
                <w:b w:val="0"/>
                <w:sz w:val="20"/>
              </w:rPr>
              <w:t>Rousseau/Zhao (1995/2007)</w:t>
            </w:r>
          </w:p>
        </w:tc>
        <w:tc>
          <w:tcPr>
            <w:tcW w:type="dxa" w:w="3120"/>
            <w:shd w:fill="F2F6FA"/>
          </w:tcPr>
          <w:p>
            <w:r/>
            <w:r>
              <w:rPr>
                <w:rFonts w:ascii="Calibri" w:hAnsi="Calibri"/>
                <w:b w:val="0"/>
                <w:sz w:val="20"/>
              </w:rPr>
              <w:t>Psychological contract breach predicts turnover (r=0.20-0.35)</w:t>
            </w:r>
          </w:p>
        </w:tc>
        <w:tc>
          <w:tcPr>
            <w:tcW w:type="dxa" w:w="3120"/>
            <w:shd w:fill="F2F6FA"/>
          </w:tcPr>
          <w:p>
            <w:r/>
            <w:r>
              <w:rPr>
                <w:rFonts w:ascii="Calibri" w:hAnsi="Calibri"/>
                <w:b w:val="0"/>
                <w:sz w:val="20"/>
              </w:rPr>
              <w:t>Theoretical framework for Section 5</w:t>
            </w:r>
          </w:p>
        </w:tc>
      </w:tr>
    </w:tbl>
    <w:p/>
    <w:p>
      <w:pPr>
        <w:spacing w:line="276" w:lineRule="auto" w:after="120"/>
      </w:pPr>
      <w:r>
        <w:rPr>
          <w:rFonts w:ascii="Calibri" w:hAnsi="Calibri"/>
          <w:sz w:val="22"/>
        </w:rPr>
        <w:t>The convergence between our internal findings and the external literature is striking. The HiPo Paradox is not an organisational anomaly; it is a well-documented pattern that occurs when designation programmes are implemented without the supporting infrastructure of differentiated development and accelerated career progression.</w:t>
      </w:r>
    </w:p>
    <w:p>
      <w:r>
        <w:br w:type="page"/>
      </w:r>
    </w:p>
    <w:p>
      <w:pPr>
        <w:spacing w:before="360" w:after="160"/>
      </w:pPr>
      <w:r>
        <w:rPr>
          <w:rFonts w:ascii="Calibri" w:hAnsi="Calibri"/>
          <w:b/>
          <w:color w:val="1F4E79"/>
          <w:sz w:val="32"/>
        </w:rPr>
        <w:t>7. Recommendations</w:t>
      </w:r>
    </w:p>
    <w:p>
      <w:pPr>
        <w:spacing w:line="276" w:lineRule="auto" w:after="120"/>
      </w:pPr>
      <w:r>
        <w:rPr>
          <w:rFonts w:ascii="Calibri" w:hAnsi="Calibri"/>
          <w:sz w:val="22"/>
        </w:rPr>
        <w:t>Based on the data analysis, root-cause diagnosis, and external evidence, we propose seven recommendations. Each recommendation is accompanied by a rationale grounded in the findings and a suggested implementation timeframe.</w:t>
      </w:r>
    </w:p>
    <w:p>
      <w:pPr>
        <w:spacing w:before="240" w:after="160"/>
      </w:pPr>
      <w:r>
        <w:rPr>
          <w:rFonts w:ascii="Calibri" w:hAnsi="Calibri"/>
          <w:b/>
          <w:sz w:val="28"/>
        </w:rPr>
        <w:t>7.1 Mandate Individual Development Plans Within 30 Days</w:t>
      </w:r>
    </w:p>
    <w:p>
      <w:pPr>
        <w:spacing w:line="276" w:lineRule="auto" w:after="120"/>
      </w:pPr>
      <w:r>
        <w:rPr>
          <w:rFonts w:ascii="Calibri" w:hAnsi="Calibri"/>
          <w:sz w:val="22"/>
        </w:rPr>
        <w:t>Every employee designated as HiPo must receive a documented Individual Development Plan (IDP) within 30 calendar days of designation. The IDP must specify at least three measurable development objectives, a timeline for the next role move, and a named senior sponsor. This directly addresses the career development score parity finding. Gallup research shows that HiPos with formal IDPs are 40% more likely to stay beyond two years. [Source: Gallup, 2023; SHRM, 2023]</w:t>
      </w:r>
    </w:p>
    <w:p>
      <w:pPr>
        <w:spacing w:before="240" w:after="160"/>
      </w:pPr>
      <w:r>
        <w:rPr>
          <w:rFonts w:ascii="Calibri" w:hAnsi="Calibri"/>
          <w:b/>
          <w:sz w:val="28"/>
        </w:rPr>
        <w:t>7.2 Implement 90-Day Check-In Pulse Surveys for HiPo Cohorts</w:t>
      </w:r>
    </w:p>
    <w:p>
      <w:pPr>
        <w:spacing w:line="276" w:lineRule="auto" w:after="120"/>
      </w:pPr>
      <w:r>
        <w:rPr>
          <w:rFonts w:ascii="Calibri" w:hAnsi="Calibri"/>
          <w:sz w:val="22"/>
        </w:rPr>
        <w:t>Administer a short pulse survey (3-5 questions) to all HiPo-designated employees at 90-day intervals, specifically measuring perceived career progress, clarity of pathway, and quality of developmental support. Flag any employee whose score drops below a defined threshold for immediate manager intervention. This addresses the Gartner-documented engagement cliff that appears 12-18 months post-designation. [Source: Gartner, 2022]</w:t>
      </w:r>
    </w:p>
    <w:p>
      <w:pPr>
        <w:spacing w:before="240" w:after="160"/>
      </w:pPr>
      <w:r>
        <w:rPr>
          <w:rFonts w:ascii="Calibri" w:hAnsi="Calibri"/>
          <w:b/>
          <w:sz w:val="28"/>
        </w:rPr>
        <w:t>7.3 Create Transparent, Time-Bound Career Pathways</w:t>
      </w:r>
    </w:p>
    <w:p>
      <w:pPr>
        <w:spacing w:line="276" w:lineRule="auto" w:after="120"/>
      </w:pPr>
      <w:r>
        <w:rPr>
          <w:rFonts w:ascii="Calibri" w:hAnsi="Calibri"/>
          <w:sz w:val="22"/>
        </w:rPr>
        <w:t>Publish clear career-path maps for each role family that show the typical progression from current level to next level, including expected timeframes, required competencies, and available development resources. SHRM research indicates an 18 percentage-point retention improvement among organisations that provide this transparency. [Source: SHRM, 2023]</w:t>
      </w:r>
    </w:p>
    <w:p>
      <w:pPr>
        <w:spacing w:before="240" w:after="160"/>
      </w:pPr>
      <w:r>
        <w:rPr>
          <w:rFonts w:ascii="Calibri" w:hAnsi="Calibri"/>
          <w:b/>
          <w:sz w:val="28"/>
        </w:rPr>
        <w:t>7.4 Align HiPo Designation with Promotion Eligibility</w:t>
      </w:r>
    </w:p>
    <w:p>
      <w:pPr>
        <w:spacing w:line="276" w:lineRule="auto" w:after="120"/>
      </w:pPr>
      <w:r>
        <w:rPr>
          <w:rFonts w:ascii="Calibri" w:hAnsi="Calibri"/>
          <w:sz w:val="22"/>
        </w:rPr>
        <w:t>Establish a policy that every HiPo-designated employee must be reviewed for promotion eligibility within the same performance cycle. If not deemed eligible, the manager must document the specific gaps and a remediation plan. This closes the 70.7% gap identified in Section 2. [Source: Internal data — employees.csv promotion_eligible analysis]</w:t>
      </w:r>
    </w:p>
    <w:p>
      <w:pPr>
        <w:spacing w:before="240" w:after="160"/>
      </w:pPr>
      <w:r>
        <w:rPr>
          <w:rFonts w:ascii="Calibri" w:hAnsi="Calibri"/>
          <w:b/>
          <w:sz w:val="28"/>
        </w:rPr>
        <w:t>7.5 Launch Manager Capability Building for Talent Development</w:t>
      </w:r>
    </w:p>
    <w:p>
      <w:pPr>
        <w:spacing w:line="276" w:lineRule="auto" w:after="120"/>
      </w:pPr>
      <w:r>
        <w:rPr>
          <w:rFonts w:ascii="Calibri" w:hAnsi="Calibri"/>
          <w:sz w:val="22"/>
        </w:rPr>
        <w:t>Deliver targeted training to all managers who supervise HiPo-designated employees. The curriculum must cover: coaching high performers, creating stretch assignments, providing constructive feedback, and managing the psychological contract with identified talent. Manager effectiveness scores among HiPos (3.40) are not significantly different from the general population (3.36), suggesting a capability gap. [Source: Internal engagement data]</w:t>
      </w:r>
    </w:p>
    <w:p>
      <w:pPr>
        <w:spacing w:before="240" w:after="160"/>
      </w:pPr>
      <w:r>
        <w:rPr>
          <w:rFonts w:ascii="Calibri" w:hAnsi="Calibri"/>
          <w:b/>
          <w:sz w:val="28"/>
        </w:rPr>
        <w:t>7.6 Establish Department-Level HiPo Retention Targets</w:t>
      </w:r>
    </w:p>
    <w:p>
      <w:pPr>
        <w:spacing w:line="276" w:lineRule="auto" w:after="120"/>
      </w:pPr>
      <w:r>
        <w:rPr>
          <w:rFonts w:ascii="Calibri" w:hAnsi="Calibri"/>
          <w:sz w:val="22"/>
        </w:rPr>
        <w:t>Set department-specific HiPo retention targets, informed by the baseline exit rates documented in Section 2.6. Departments with the highest HiPo exit rates (Corporate Operations at 19.1%, Risk &amp; Compliance at 18.2%) should receive priority intervention and quarterly reviews with the Chief People Officer. [Source: Internal data — department-level exit rates]</w:t>
      </w:r>
    </w:p>
    <w:p>
      <w:pPr>
        <w:spacing w:before="240" w:after="160"/>
      </w:pPr>
      <w:r>
        <w:rPr>
          <w:rFonts w:ascii="Calibri" w:hAnsi="Calibri"/>
          <w:b/>
          <w:sz w:val="28"/>
        </w:rPr>
        <w:t>7.7 Audit and Right-Size the HiPo Population</w:t>
      </w:r>
    </w:p>
    <w:p>
      <w:pPr>
        <w:spacing w:line="276" w:lineRule="auto" w:after="120"/>
      </w:pPr>
      <w:r>
        <w:rPr>
          <w:rFonts w:ascii="Calibri" w:hAnsi="Calibri"/>
          <w:sz w:val="22"/>
        </w:rPr>
        <w:t>The current HiPo population of 1,210 employees (9.0% of workforce) may be too large to deliver differentiated development at scale. Leading practice suggests that HiPo cohorts should represent 3-5% of the workforce to enable meaningful per-person investment. A smaller, more intensively developed cohort is likely to yield higher retention than a broad, under-resourced one. [Source: Bersin, 2022; SHRM, 2023]</w:t>
      </w:r>
    </w:p>
    <w:p>
      <w:pPr>
        <w:spacing w:before="240" w:after="160"/>
      </w:pPr>
      <w:r>
        <w:rPr>
          <w:rFonts w:ascii="Calibri" w:hAnsi="Calibri"/>
          <w:b/>
          <w:sz w:val="28"/>
        </w:rPr>
        <w:t>7.8 Recommendation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
              <w:rPr>
                <w:rFonts w:ascii="Calibri" w:hAnsi="Calibri"/>
                <w:b/>
                <w:color w:val="FFFFFF"/>
                <w:sz w:val="20"/>
              </w:rPr>
              <w:t>#</w:t>
            </w:r>
          </w:p>
        </w:tc>
        <w:tc>
          <w:tcPr>
            <w:tcW w:type="dxa" w:w="1872"/>
            <w:shd w:fill="1F4E79"/>
          </w:tcPr>
          <w:p>
            <w:r/>
            <w:r>
              <w:rPr>
                <w:rFonts w:ascii="Calibri" w:hAnsi="Calibri"/>
                <w:b/>
                <w:color w:val="FFFFFF"/>
                <w:sz w:val="20"/>
              </w:rPr>
              <w:t>Recommendation</w:t>
            </w:r>
          </w:p>
        </w:tc>
        <w:tc>
          <w:tcPr>
            <w:tcW w:type="dxa" w:w="1872"/>
            <w:shd w:fill="1F4E79"/>
          </w:tcPr>
          <w:p>
            <w:r/>
            <w:r>
              <w:rPr>
                <w:rFonts w:ascii="Calibri" w:hAnsi="Calibri"/>
                <w:b/>
                <w:color w:val="FFFFFF"/>
                <w:sz w:val="20"/>
              </w:rPr>
              <w:t>Primary Root Cause Addressed</w:t>
            </w:r>
          </w:p>
        </w:tc>
        <w:tc>
          <w:tcPr>
            <w:tcW w:type="dxa" w:w="1872"/>
            <w:shd w:fill="1F4E79"/>
          </w:tcPr>
          <w:p>
            <w:r/>
            <w:r>
              <w:rPr>
                <w:rFonts w:ascii="Calibri" w:hAnsi="Calibri"/>
                <w:b/>
                <w:color w:val="FFFFFF"/>
                <w:sz w:val="20"/>
              </w:rPr>
              <w:t>Suggested Timeframe</w:t>
            </w:r>
          </w:p>
        </w:tc>
        <w:tc>
          <w:tcPr>
            <w:tcW w:type="dxa" w:w="1872"/>
            <w:shd w:fill="1F4E79"/>
          </w:tcPr>
          <w:p>
            <w:r/>
            <w:r>
              <w:rPr>
                <w:rFonts w:ascii="Calibri" w:hAnsi="Calibri"/>
                <w:b/>
                <w:color w:val="FFFFFF"/>
                <w:sz w:val="20"/>
              </w:rPr>
              <w:t>Evidence Basis</w:t>
            </w:r>
          </w:p>
        </w:tc>
      </w:tr>
      <w:tr>
        <w:tc>
          <w:tcPr>
            <w:tcW w:type="dxa" w:w="1872"/>
            <w:shd w:fill="F2F6FA"/>
          </w:tcPr>
          <w:p>
            <w:r/>
            <w:r>
              <w:rPr>
                <w:rFonts w:ascii="Calibri" w:hAnsi="Calibri"/>
                <w:b w:val="0"/>
                <w:sz w:val="20"/>
              </w:rPr>
              <w:t>1</w:t>
            </w:r>
          </w:p>
        </w:tc>
        <w:tc>
          <w:tcPr>
            <w:tcW w:type="dxa" w:w="1872"/>
            <w:shd w:fill="F2F6FA"/>
          </w:tcPr>
          <w:p>
            <w:r/>
            <w:r>
              <w:rPr>
                <w:rFonts w:ascii="Calibri" w:hAnsi="Calibri"/>
                <w:b w:val="0"/>
                <w:sz w:val="20"/>
              </w:rPr>
              <w:t>Mandate IDPs within 30 days</w:t>
            </w:r>
          </w:p>
        </w:tc>
        <w:tc>
          <w:tcPr>
            <w:tcW w:type="dxa" w:w="1872"/>
            <w:shd w:fill="F2F6FA"/>
          </w:tcPr>
          <w:p>
            <w:r/>
            <w:r>
              <w:rPr>
                <w:rFonts w:ascii="Calibri" w:hAnsi="Calibri"/>
                <w:b w:val="0"/>
                <w:sz w:val="20"/>
              </w:rPr>
              <w:t>No differentiated development</w:t>
            </w:r>
          </w:p>
        </w:tc>
        <w:tc>
          <w:tcPr>
            <w:tcW w:type="dxa" w:w="1872"/>
            <w:shd w:fill="F2F6FA"/>
          </w:tcPr>
          <w:p>
            <w:r/>
            <w:r>
              <w:rPr>
                <w:rFonts w:ascii="Calibri" w:hAnsi="Calibri"/>
                <w:b w:val="0"/>
                <w:sz w:val="20"/>
              </w:rPr>
              <w:t>Immediate (Q3 2026)</w:t>
            </w:r>
          </w:p>
        </w:tc>
        <w:tc>
          <w:tcPr>
            <w:tcW w:type="dxa" w:w="1872"/>
            <w:shd w:fill="F2F6FA"/>
          </w:tcPr>
          <w:p>
            <w:r/>
            <w:r>
              <w:rPr>
                <w:rFonts w:ascii="Calibri" w:hAnsi="Calibri"/>
                <w:b w:val="0"/>
                <w:sz w:val="20"/>
              </w:rPr>
              <w:t>Gallup, SHRM</w:t>
            </w:r>
          </w:p>
        </w:tc>
      </w:tr>
      <w:tr>
        <w:tc>
          <w:tcPr>
            <w:tcW w:type="dxa" w:w="1872"/>
          </w:tcPr>
          <w:p>
            <w:r/>
            <w:r>
              <w:rPr>
                <w:rFonts w:ascii="Calibri" w:hAnsi="Calibri"/>
                <w:b w:val="0"/>
                <w:sz w:val="20"/>
              </w:rPr>
              <w:t>2</w:t>
            </w:r>
          </w:p>
        </w:tc>
        <w:tc>
          <w:tcPr>
            <w:tcW w:type="dxa" w:w="1872"/>
          </w:tcPr>
          <w:p>
            <w:r/>
            <w:r>
              <w:rPr>
                <w:rFonts w:ascii="Calibri" w:hAnsi="Calibri"/>
                <w:b w:val="0"/>
                <w:sz w:val="20"/>
              </w:rPr>
              <w:t>90-day pulse surveys for HiPos</w:t>
            </w:r>
          </w:p>
        </w:tc>
        <w:tc>
          <w:tcPr>
            <w:tcW w:type="dxa" w:w="1872"/>
          </w:tcPr>
          <w:p>
            <w:r/>
            <w:r>
              <w:rPr>
                <w:rFonts w:ascii="Calibri" w:hAnsi="Calibri"/>
                <w:b w:val="0"/>
                <w:sz w:val="20"/>
              </w:rPr>
              <w:t>Label without a path</w:t>
            </w:r>
          </w:p>
        </w:tc>
        <w:tc>
          <w:tcPr>
            <w:tcW w:type="dxa" w:w="1872"/>
          </w:tcPr>
          <w:p>
            <w:r/>
            <w:r>
              <w:rPr>
                <w:rFonts w:ascii="Calibri" w:hAnsi="Calibri"/>
                <w:b w:val="0"/>
                <w:sz w:val="20"/>
              </w:rPr>
              <w:t>Q3 2026</w:t>
            </w:r>
          </w:p>
        </w:tc>
        <w:tc>
          <w:tcPr>
            <w:tcW w:type="dxa" w:w="1872"/>
          </w:tcPr>
          <w:p>
            <w:r/>
            <w:r>
              <w:rPr>
                <w:rFonts w:ascii="Calibri" w:hAnsi="Calibri"/>
                <w:b w:val="0"/>
                <w:sz w:val="20"/>
              </w:rPr>
              <w:t>Gartner</w:t>
            </w:r>
          </w:p>
        </w:tc>
      </w:tr>
      <w:tr>
        <w:tc>
          <w:tcPr>
            <w:tcW w:type="dxa" w:w="1872"/>
            <w:shd w:fill="F2F6FA"/>
          </w:tcPr>
          <w:p>
            <w:r/>
            <w:r>
              <w:rPr>
                <w:rFonts w:ascii="Calibri" w:hAnsi="Calibri"/>
                <w:b w:val="0"/>
                <w:sz w:val="20"/>
              </w:rPr>
              <w:t>3</w:t>
            </w:r>
          </w:p>
        </w:tc>
        <w:tc>
          <w:tcPr>
            <w:tcW w:type="dxa" w:w="1872"/>
            <w:shd w:fill="F2F6FA"/>
          </w:tcPr>
          <w:p>
            <w:r/>
            <w:r>
              <w:rPr>
                <w:rFonts w:ascii="Calibri" w:hAnsi="Calibri"/>
                <w:b w:val="0"/>
                <w:sz w:val="20"/>
              </w:rPr>
              <w:t>Transparent career pathways</w:t>
            </w:r>
          </w:p>
        </w:tc>
        <w:tc>
          <w:tcPr>
            <w:tcW w:type="dxa" w:w="1872"/>
            <w:shd w:fill="F2F6FA"/>
          </w:tcPr>
          <w:p>
            <w:r/>
            <w:r>
              <w:rPr>
                <w:rFonts w:ascii="Calibri" w:hAnsi="Calibri"/>
                <w:b w:val="0"/>
                <w:sz w:val="20"/>
              </w:rPr>
              <w:t>Label without a path</w:t>
            </w:r>
          </w:p>
        </w:tc>
        <w:tc>
          <w:tcPr>
            <w:tcW w:type="dxa" w:w="1872"/>
            <w:shd w:fill="F2F6FA"/>
          </w:tcPr>
          <w:p>
            <w:r/>
            <w:r>
              <w:rPr>
                <w:rFonts w:ascii="Calibri" w:hAnsi="Calibri"/>
                <w:b w:val="0"/>
                <w:sz w:val="20"/>
              </w:rPr>
              <w:t>Q3-Q4 2026</w:t>
            </w:r>
          </w:p>
        </w:tc>
        <w:tc>
          <w:tcPr>
            <w:tcW w:type="dxa" w:w="1872"/>
            <w:shd w:fill="F2F6FA"/>
          </w:tcPr>
          <w:p>
            <w:r/>
            <w:r>
              <w:rPr>
                <w:rFonts w:ascii="Calibri" w:hAnsi="Calibri"/>
                <w:b w:val="0"/>
                <w:sz w:val="20"/>
              </w:rPr>
              <w:t>SHRM</w:t>
            </w:r>
          </w:p>
        </w:tc>
      </w:tr>
      <w:tr>
        <w:tc>
          <w:tcPr>
            <w:tcW w:type="dxa" w:w="1872"/>
          </w:tcPr>
          <w:p>
            <w:r/>
            <w:r>
              <w:rPr>
                <w:rFonts w:ascii="Calibri" w:hAnsi="Calibri"/>
                <w:b w:val="0"/>
                <w:sz w:val="20"/>
              </w:rPr>
              <w:t>4</w:t>
            </w:r>
          </w:p>
        </w:tc>
        <w:tc>
          <w:tcPr>
            <w:tcW w:type="dxa" w:w="1872"/>
          </w:tcPr>
          <w:p>
            <w:r/>
            <w:r>
              <w:rPr>
                <w:rFonts w:ascii="Calibri" w:hAnsi="Calibri"/>
                <w:b w:val="0"/>
                <w:sz w:val="20"/>
              </w:rPr>
              <w:t>Align HiPo with promo eligibility</w:t>
            </w:r>
          </w:p>
        </w:tc>
        <w:tc>
          <w:tcPr>
            <w:tcW w:type="dxa" w:w="1872"/>
          </w:tcPr>
          <w:p>
            <w:r/>
            <w:r>
              <w:rPr>
                <w:rFonts w:ascii="Calibri" w:hAnsi="Calibri"/>
                <w:b w:val="0"/>
                <w:sz w:val="20"/>
              </w:rPr>
              <w:t>Label without a path</w:t>
            </w:r>
          </w:p>
        </w:tc>
        <w:tc>
          <w:tcPr>
            <w:tcW w:type="dxa" w:w="1872"/>
          </w:tcPr>
          <w:p>
            <w:r/>
            <w:r>
              <w:rPr>
                <w:rFonts w:ascii="Calibri" w:hAnsi="Calibri"/>
                <w:b w:val="0"/>
                <w:sz w:val="20"/>
              </w:rPr>
              <w:t>Q4 2026</w:t>
            </w:r>
          </w:p>
        </w:tc>
        <w:tc>
          <w:tcPr>
            <w:tcW w:type="dxa" w:w="1872"/>
          </w:tcPr>
          <w:p>
            <w:r/>
            <w:r>
              <w:rPr>
                <w:rFonts w:ascii="Calibri" w:hAnsi="Calibri"/>
                <w:b w:val="0"/>
                <w:sz w:val="20"/>
              </w:rPr>
              <w:t>Internal data</w:t>
            </w:r>
          </w:p>
        </w:tc>
      </w:tr>
      <w:tr>
        <w:tc>
          <w:tcPr>
            <w:tcW w:type="dxa" w:w="1872"/>
            <w:shd w:fill="F2F6FA"/>
          </w:tcPr>
          <w:p>
            <w:r/>
            <w:r>
              <w:rPr>
                <w:rFonts w:ascii="Calibri" w:hAnsi="Calibri"/>
                <w:b w:val="0"/>
                <w:sz w:val="20"/>
              </w:rPr>
              <w:t>5</w:t>
            </w:r>
          </w:p>
        </w:tc>
        <w:tc>
          <w:tcPr>
            <w:tcW w:type="dxa" w:w="1872"/>
            <w:shd w:fill="F2F6FA"/>
          </w:tcPr>
          <w:p>
            <w:r/>
            <w:r>
              <w:rPr>
                <w:rFonts w:ascii="Calibri" w:hAnsi="Calibri"/>
                <w:b w:val="0"/>
                <w:sz w:val="20"/>
              </w:rPr>
              <w:t>Manager capability building</w:t>
            </w:r>
          </w:p>
        </w:tc>
        <w:tc>
          <w:tcPr>
            <w:tcW w:type="dxa" w:w="1872"/>
            <w:shd w:fill="F2F6FA"/>
          </w:tcPr>
          <w:p>
            <w:r/>
            <w:r>
              <w:rPr>
                <w:rFonts w:ascii="Calibri" w:hAnsi="Calibri"/>
                <w:b w:val="0"/>
                <w:sz w:val="20"/>
              </w:rPr>
              <w:t>No differentiated development</w:t>
            </w:r>
          </w:p>
        </w:tc>
        <w:tc>
          <w:tcPr>
            <w:tcW w:type="dxa" w:w="1872"/>
            <w:shd w:fill="F2F6FA"/>
          </w:tcPr>
          <w:p>
            <w:r/>
            <w:r>
              <w:rPr>
                <w:rFonts w:ascii="Calibri" w:hAnsi="Calibri"/>
                <w:b w:val="0"/>
                <w:sz w:val="20"/>
              </w:rPr>
              <w:t>Q4 2026 - Q1 2027</w:t>
            </w:r>
          </w:p>
        </w:tc>
        <w:tc>
          <w:tcPr>
            <w:tcW w:type="dxa" w:w="1872"/>
            <w:shd w:fill="F2F6FA"/>
          </w:tcPr>
          <w:p>
            <w:r/>
            <w:r>
              <w:rPr>
                <w:rFonts w:ascii="Calibri" w:hAnsi="Calibri"/>
                <w:b w:val="0"/>
                <w:sz w:val="20"/>
              </w:rPr>
              <w:t>Internal data</w:t>
            </w:r>
          </w:p>
        </w:tc>
      </w:tr>
      <w:tr>
        <w:tc>
          <w:tcPr>
            <w:tcW w:type="dxa" w:w="1872"/>
          </w:tcPr>
          <w:p>
            <w:r/>
            <w:r>
              <w:rPr>
                <w:rFonts w:ascii="Calibri" w:hAnsi="Calibri"/>
                <w:b w:val="0"/>
                <w:sz w:val="20"/>
              </w:rPr>
              <w:t>6</w:t>
            </w:r>
          </w:p>
        </w:tc>
        <w:tc>
          <w:tcPr>
            <w:tcW w:type="dxa" w:w="1872"/>
          </w:tcPr>
          <w:p>
            <w:r/>
            <w:r>
              <w:rPr>
                <w:rFonts w:ascii="Calibri" w:hAnsi="Calibri"/>
                <w:b w:val="0"/>
                <w:sz w:val="20"/>
              </w:rPr>
              <w:t>Department retention targets</w:t>
            </w:r>
          </w:p>
        </w:tc>
        <w:tc>
          <w:tcPr>
            <w:tcW w:type="dxa" w:w="1872"/>
          </w:tcPr>
          <w:p>
            <w:r/>
            <w:r>
              <w:rPr>
                <w:rFonts w:ascii="Calibri" w:hAnsi="Calibri"/>
                <w:b w:val="0"/>
                <w:sz w:val="20"/>
              </w:rPr>
              <w:t>Both root causes</w:t>
            </w:r>
          </w:p>
        </w:tc>
        <w:tc>
          <w:tcPr>
            <w:tcW w:type="dxa" w:w="1872"/>
          </w:tcPr>
          <w:p>
            <w:r/>
            <w:r>
              <w:rPr>
                <w:rFonts w:ascii="Calibri" w:hAnsi="Calibri"/>
                <w:b w:val="0"/>
                <w:sz w:val="20"/>
              </w:rPr>
              <w:t>Q3 2026</w:t>
            </w:r>
          </w:p>
        </w:tc>
        <w:tc>
          <w:tcPr>
            <w:tcW w:type="dxa" w:w="1872"/>
          </w:tcPr>
          <w:p>
            <w:r/>
            <w:r>
              <w:rPr>
                <w:rFonts w:ascii="Calibri" w:hAnsi="Calibri"/>
                <w:b w:val="0"/>
                <w:sz w:val="20"/>
              </w:rPr>
              <w:t>Internal data</w:t>
            </w:r>
          </w:p>
        </w:tc>
      </w:tr>
      <w:tr>
        <w:tc>
          <w:tcPr>
            <w:tcW w:type="dxa" w:w="1872"/>
            <w:shd w:fill="F2F6FA"/>
          </w:tcPr>
          <w:p>
            <w:r/>
            <w:r>
              <w:rPr>
                <w:rFonts w:ascii="Calibri" w:hAnsi="Calibri"/>
                <w:b w:val="0"/>
                <w:sz w:val="20"/>
              </w:rPr>
              <w:t>7</w:t>
            </w:r>
          </w:p>
        </w:tc>
        <w:tc>
          <w:tcPr>
            <w:tcW w:type="dxa" w:w="1872"/>
            <w:shd w:fill="F2F6FA"/>
          </w:tcPr>
          <w:p>
            <w:r/>
            <w:r>
              <w:rPr>
                <w:rFonts w:ascii="Calibri" w:hAnsi="Calibri"/>
                <w:b w:val="0"/>
                <w:sz w:val="20"/>
              </w:rPr>
              <w:t>Right-size HiPo population</w:t>
            </w:r>
          </w:p>
        </w:tc>
        <w:tc>
          <w:tcPr>
            <w:tcW w:type="dxa" w:w="1872"/>
            <w:shd w:fill="F2F6FA"/>
          </w:tcPr>
          <w:p>
            <w:r/>
            <w:r>
              <w:rPr>
                <w:rFonts w:ascii="Calibri" w:hAnsi="Calibri"/>
                <w:b w:val="0"/>
                <w:sz w:val="20"/>
              </w:rPr>
              <w:t>No differentiated development</w:t>
            </w:r>
          </w:p>
        </w:tc>
        <w:tc>
          <w:tcPr>
            <w:tcW w:type="dxa" w:w="1872"/>
            <w:shd w:fill="F2F6FA"/>
          </w:tcPr>
          <w:p>
            <w:r/>
            <w:r>
              <w:rPr>
                <w:rFonts w:ascii="Calibri" w:hAnsi="Calibri"/>
                <w:b w:val="0"/>
                <w:sz w:val="20"/>
              </w:rPr>
              <w:t>Q1 2027</w:t>
            </w:r>
          </w:p>
        </w:tc>
        <w:tc>
          <w:tcPr>
            <w:tcW w:type="dxa" w:w="1872"/>
            <w:shd w:fill="F2F6FA"/>
          </w:tcPr>
          <w:p>
            <w:r/>
            <w:r>
              <w:rPr>
                <w:rFonts w:ascii="Calibri" w:hAnsi="Calibri"/>
                <w:b w:val="0"/>
                <w:sz w:val="20"/>
              </w:rPr>
              <w:t>Bersin, SHRM</w:t>
            </w:r>
          </w:p>
        </w:tc>
      </w:tr>
    </w:tbl>
    <w:p/>
    <w:p>
      <w:r>
        <w:br w:type="page"/>
      </w:r>
    </w:p>
    <w:p>
      <w:pPr>
        <w:spacing w:before="360" w:after="160"/>
      </w:pPr>
      <w:r>
        <w:rPr>
          <w:rFonts w:ascii="Calibri" w:hAnsi="Calibri"/>
          <w:b/>
          <w:color w:val="1F4E79"/>
          <w:sz w:val="32"/>
        </w:rPr>
        <w:t>0. Appendix A: Python Code Snippets</w:t>
      </w:r>
    </w:p>
    <w:p>
      <w:pPr>
        <w:spacing w:line="276" w:lineRule="auto" w:after="120"/>
      </w:pPr>
      <w:r>
        <w:rPr>
          <w:rFonts w:ascii="Calibri" w:hAnsi="Calibri"/>
          <w:sz w:val="22"/>
        </w:rPr>
        <w:t>The following code excerpts reproduce the core analytical computations. All code was executed in Python 3.12 with pandas 2.x, numpy 1.x, and scipy 1.x. The raw data files are located in datathon-2026/data/.</w:t>
      </w:r>
    </w:p>
    <w:p>
      <w:pPr>
        <w:spacing w:after="40"/>
      </w:pPr>
      <w:r>
        <w:rPr>
          <w:rFonts w:ascii="Calibri" w:hAnsi="Calibri"/>
          <w:b/>
          <w:i/>
          <w:sz w:val="20"/>
        </w:rPr>
        <w:t>Code Excerpt A.1 -- Data loading (generate_report.py)</w:t>
      </w:r>
    </w:p>
    <w:p>
      <w:pPr>
        <w:spacing w:line="240" w:lineRule="auto" w:after="0" w:before="0"/>
      </w:pPr>
      <w:r>
        <w:rPr>
          <w:rFonts w:ascii="Consolas" w:hAnsi="Consolas"/>
          <w:sz w:val="16"/>
        </w:rPr>
        <w:t>import pandas as pd</w:t>
      </w:r>
    </w:p>
    <w:p>
      <w:pPr>
        <w:spacing w:line="240" w:lineRule="auto" w:after="0" w:before="0"/>
      </w:pPr>
      <w:r>
        <w:rPr>
          <w:rFonts w:ascii="Consolas" w:hAnsi="Consolas"/>
          <w:sz w:val="16"/>
        </w:rPr>
        <w:t>import numpy as np</w:t>
      </w:r>
    </w:p>
    <w:p>
      <w:pPr>
        <w:spacing w:line="240" w:lineRule="auto" w:after="0" w:before="0"/>
      </w:pPr>
      <w:r>
        <w:rPr>
          <w:rFonts w:ascii="Consolas" w:hAnsi="Consolas"/>
          <w:sz w:val="16"/>
        </w:rPr>
        <w:t>from scipy.stats import chi2_contingency, ttest_ind</w:t>
      </w:r>
    </w:p>
    <w:p>
      <w:pPr>
        <w:spacing w:line="240" w:lineRule="auto" w:after="0" w:before="0"/>
      </w:pPr>
      <w:r>
        <w:rPr>
          <w:rFonts w:ascii="Consolas" w:hAnsi="Consolas"/>
          <w:sz w:val="16"/>
        </w:rPr>
      </w:r>
    </w:p>
    <w:p>
      <w:pPr>
        <w:spacing w:line="240" w:lineRule="auto" w:after="0" w:before="0"/>
      </w:pPr>
      <w:r>
        <w:rPr>
          <w:rFonts w:ascii="Consolas" w:hAnsi="Consolas"/>
          <w:sz w:val="16"/>
        </w:rPr>
        <w:t># Load raw data</w:t>
      </w:r>
    </w:p>
    <w:p>
      <w:pPr>
        <w:spacing w:line="240" w:lineRule="auto" w:after="0" w:before="0"/>
      </w:pPr>
      <w:r>
        <w:rPr>
          <w:rFonts w:ascii="Consolas" w:hAnsi="Consolas"/>
          <w:sz w:val="16"/>
        </w:rPr>
        <w:t>emp = pd.read_csv("datathon-2026/data/employees.csv")</w:t>
      </w:r>
    </w:p>
    <w:p>
      <w:pPr>
        <w:spacing w:line="240" w:lineRule="auto" w:after="0" w:before="0"/>
      </w:pPr>
      <w:r>
        <w:rPr>
          <w:rFonts w:ascii="Consolas" w:hAnsi="Consolas"/>
          <w:sz w:val="16"/>
        </w:rPr>
        <w:t>att = pd.read_csv("datathon-2026/data/attrition_log.csv")</w:t>
      </w:r>
    </w:p>
    <w:p>
      <w:pPr>
        <w:spacing w:line="240" w:lineRule="auto" w:after="0" w:before="0"/>
      </w:pPr>
      <w:r>
        <w:rPr>
          <w:rFonts w:ascii="Consolas" w:hAnsi="Consolas"/>
          <w:sz w:val="16"/>
        </w:rPr>
        <w:t>eng = pd.read_csv("datathon-2026/data/engagement.csv")</w:t>
      </w:r>
    </w:p>
    <w:p>
      <w:pPr>
        <w:spacing w:after="120"/>
      </w:pPr>
    </w:p>
    <w:p>
      <w:pPr>
        <w:spacing w:after="40"/>
      </w:pPr>
      <w:r>
        <w:rPr>
          <w:rFonts w:ascii="Calibri" w:hAnsi="Calibri"/>
          <w:b/>
          <w:i/>
          <w:sz w:val="20"/>
        </w:rPr>
        <w:t>Code Excerpt A.2 -- Exit rate calculation and chi-square test</w:t>
      </w:r>
    </w:p>
    <w:p>
      <w:pPr>
        <w:spacing w:line="240" w:lineRule="auto" w:after="0" w:before="0"/>
      </w:pPr>
      <w:r>
        <w:rPr>
          <w:rFonts w:ascii="Consolas" w:hAnsi="Consolas"/>
          <w:sz w:val="16"/>
        </w:rPr>
        <w:t># -- Exit Rate by HiPo Status --</w:t>
      </w:r>
    </w:p>
    <w:p>
      <w:pPr>
        <w:spacing w:line="240" w:lineRule="auto" w:after="0" w:before="0"/>
      </w:pPr>
      <w:r>
        <w:rPr>
          <w:rFonts w:ascii="Consolas" w:hAnsi="Consolas"/>
          <w:sz w:val="16"/>
        </w:rPr>
      </w:r>
    </w:p>
    <w:p>
      <w:pPr>
        <w:spacing w:line="240" w:lineRule="auto" w:after="0" w:before="0"/>
      </w:pPr>
      <w:r>
        <w:rPr>
          <w:rFonts w:ascii="Consolas" w:hAnsi="Consolas"/>
          <w:sz w:val="16"/>
        </w:rPr>
        <w:t># Identify employees with voluntary exits</w:t>
      </w:r>
    </w:p>
    <w:p>
      <w:pPr>
        <w:spacing w:line="240" w:lineRule="auto" w:after="0" w:before="0"/>
      </w:pPr>
      <w:r>
        <w:rPr>
          <w:rFonts w:ascii="Consolas" w:hAnsi="Consolas"/>
          <w:sz w:val="16"/>
        </w:rPr>
        <w:t>vol = att[att["exit_type"] == "voluntary"]</w:t>
      </w:r>
    </w:p>
    <w:p>
      <w:pPr>
        <w:spacing w:line="240" w:lineRule="auto" w:after="0" w:before="0"/>
      </w:pPr>
      <w:r>
        <w:rPr>
          <w:rFonts w:ascii="Consolas" w:hAnsi="Consolas"/>
          <w:sz w:val="16"/>
        </w:rPr>
        <w:t>exit_ids = set(vol["employee_id"].unique())</w:t>
      </w:r>
    </w:p>
    <w:p>
      <w:pPr>
        <w:spacing w:line="240" w:lineRule="auto" w:after="0" w:before="0"/>
      </w:pPr>
      <w:r>
        <w:rPr>
          <w:rFonts w:ascii="Consolas" w:hAnsi="Consolas"/>
          <w:sz w:val="16"/>
        </w:rPr>
        <w:t>emp["exited_vol"] = emp["employee_id"].isin(exit_ids).astype(int)</w:t>
      </w:r>
    </w:p>
    <w:p>
      <w:pPr>
        <w:spacing w:line="240" w:lineRule="auto" w:after="0" w:before="0"/>
      </w:pPr>
      <w:r>
        <w:rPr>
          <w:rFonts w:ascii="Consolas" w:hAnsi="Consolas"/>
          <w:sz w:val="16"/>
        </w:rPr>
      </w:r>
    </w:p>
    <w:p>
      <w:pPr>
        <w:spacing w:line="240" w:lineRule="auto" w:after="0" w:before="0"/>
      </w:pPr>
      <w:r>
        <w:rPr>
          <w:rFonts w:ascii="Consolas" w:hAnsi="Consolas"/>
          <w:sz w:val="16"/>
        </w:rPr>
        <w:t># Group-level exit rates</w:t>
      </w:r>
    </w:p>
    <w:p>
      <w:pPr>
        <w:spacing w:line="240" w:lineRule="auto" w:after="0" w:before="0"/>
      </w:pPr>
      <w:r>
        <w:rPr>
          <w:rFonts w:ascii="Consolas" w:hAnsi="Consolas"/>
          <w:sz w:val="16"/>
        </w:rPr>
        <w:t>hipo = emp[emp["hipo_flag"] == True]</w:t>
      </w:r>
    </w:p>
    <w:p>
      <w:pPr>
        <w:spacing w:line="240" w:lineRule="auto" w:after="0" w:before="0"/>
      </w:pPr>
      <w:r>
        <w:rPr>
          <w:rFonts w:ascii="Consolas" w:hAnsi="Consolas"/>
          <w:sz w:val="16"/>
        </w:rPr>
        <w:t>non_hipo = emp[emp["hipo_flag"] == False]</w:t>
      </w:r>
    </w:p>
    <w:p>
      <w:pPr>
        <w:spacing w:line="240" w:lineRule="auto" w:after="0" w:before="0"/>
      </w:pPr>
      <w:r>
        <w:rPr>
          <w:rFonts w:ascii="Consolas" w:hAnsi="Consolas"/>
          <w:sz w:val="16"/>
        </w:rPr>
      </w:r>
    </w:p>
    <w:p>
      <w:pPr>
        <w:spacing w:line="240" w:lineRule="auto" w:after="0" w:before="0"/>
      </w:pPr>
      <w:r>
        <w:rPr>
          <w:rFonts w:ascii="Consolas" w:hAnsi="Consolas"/>
          <w:sz w:val="16"/>
        </w:rPr>
        <w:t>hipo_rate = hipo["exited_vol"].mean() * 100</w:t>
      </w:r>
    </w:p>
    <w:p>
      <w:pPr>
        <w:spacing w:line="240" w:lineRule="auto" w:after="0" w:before="0"/>
      </w:pPr>
      <w:r>
        <w:rPr>
          <w:rFonts w:ascii="Consolas" w:hAnsi="Consolas"/>
          <w:sz w:val="16"/>
        </w:rPr>
        <w:t>non_hipo_rate = non_hipo["exited_vol"].mean() * 100</w:t>
      </w:r>
    </w:p>
    <w:p>
      <w:pPr>
        <w:spacing w:line="240" w:lineRule="auto" w:after="0" w:before="0"/>
      </w:pPr>
      <w:r>
        <w:rPr>
          <w:rFonts w:ascii="Consolas" w:hAnsi="Consolas"/>
          <w:sz w:val="16"/>
        </w:rPr>
      </w:r>
    </w:p>
    <w:p>
      <w:pPr>
        <w:spacing w:line="240" w:lineRule="auto" w:after="0" w:before="0"/>
      </w:pPr>
      <w:r>
        <w:rPr>
          <w:rFonts w:ascii="Consolas" w:hAnsi="Consolas"/>
          <w:sz w:val="16"/>
        </w:rPr>
        <w:t>print(f"HiPo exit rate: {hipo_rate:.1f}%  ({hipo['exited_vol'].sum()}/{len(hipo)})")</w:t>
      </w:r>
    </w:p>
    <w:p>
      <w:pPr>
        <w:spacing w:line="240" w:lineRule="auto" w:after="0" w:before="0"/>
      </w:pPr>
      <w:r>
        <w:rPr>
          <w:rFonts w:ascii="Consolas" w:hAnsi="Consolas"/>
          <w:sz w:val="16"/>
        </w:rPr>
        <w:t>print(f"Non-HiPo exit rate: {non_hipo_rate:.1f}%  "</w:t>
      </w:r>
    </w:p>
    <w:p>
      <w:pPr>
        <w:spacing w:line="240" w:lineRule="auto" w:after="0" w:before="0"/>
      </w:pPr>
      <w:r>
        <w:rPr>
          <w:rFonts w:ascii="Consolas" w:hAnsi="Consolas"/>
          <w:sz w:val="16"/>
        </w:rPr>
        <w:t xml:space="preserve">      f"({non_hipo['exited_vol'].sum()}/{len(non_hipo)})")</w:t>
      </w:r>
    </w:p>
    <w:p>
      <w:pPr>
        <w:spacing w:line="240" w:lineRule="auto" w:after="0" w:before="0"/>
      </w:pPr>
      <w:r>
        <w:rPr>
          <w:rFonts w:ascii="Consolas" w:hAnsi="Consolas"/>
          <w:sz w:val="16"/>
        </w:rPr>
      </w:r>
    </w:p>
    <w:p>
      <w:pPr>
        <w:spacing w:line="240" w:lineRule="auto" w:after="0" w:before="0"/>
      </w:pPr>
      <w:r>
        <w:rPr>
          <w:rFonts w:ascii="Consolas" w:hAnsi="Consolas"/>
          <w:sz w:val="16"/>
        </w:rPr>
        <w:t># -- Chi-square test --</w:t>
      </w:r>
    </w:p>
    <w:p>
      <w:pPr>
        <w:spacing w:line="240" w:lineRule="auto" w:after="0" w:before="0"/>
      </w:pPr>
      <w:r>
        <w:rPr>
          <w:rFonts w:ascii="Consolas" w:hAnsi="Consolas"/>
          <w:sz w:val="16"/>
        </w:rPr>
        <w:t>contingency = pd.crosstab(emp["hipo_flag"], emp["exited_vol"])</w:t>
      </w:r>
    </w:p>
    <w:p>
      <w:pPr>
        <w:spacing w:line="240" w:lineRule="auto" w:after="0" w:before="0"/>
      </w:pPr>
      <w:r>
        <w:rPr>
          <w:rFonts w:ascii="Consolas" w:hAnsi="Consolas"/>
          <w:sz w:val="16"/>
        </w:rPr>
        <w:t>chi2, p, dof, expected = chi2_contingency(contingency)</w:t>
      </w:r>
    </w:p>
    <w:p>
      <w:pPr>
        <w:spacing w:line="240" w:lineRule="auto" w:after="0" w:before="0"/>
      </w:pPr>
      <w:r>
        <w:rPr>
          <w:rFonts w:ascii="Consolas" w:hAnsi="Consolas"/>
          <w:sz w:val="16"/>
        </w:rPr>
        <w:t>print(f"Chi-square = {chi2:.3f}, p = {p:.6f}")</w:t>
      </w:r>
    </w:p>
    <w:p>
      <w:pPr>
        <w:spacing w:line="240" w:lineRule="auto" w:after="0" w:before="0"/>
      </w:pPr>
      <w:r>
        <w:rPr>
          <w:rFonts w:ascii="Consolas" w:hAnsi="Consolas"/>
          <w:sz w:val="16"/>
        </w:rPr>
      </w:r>
    </w:p>
    <w:p>
      <w:pPr>
        <w:spacing w:line="240" w:lineRule="auto" w:after="0" w:before="0"/>
      </w:pPr>
      <w:r>
        <w:rPr>
          <w:rFonts w:ascii="Consolas" w:hAnsi="Consolas"/>
          <w:sz w:val="16"/>
        </w:rPr>
        <w:t># -- Odds ratio --</w:t>
      </w:r>
    </w:p>
    <w:p>
      <w:pPr>
        <w:spacing w:line="240" w:lineRule="auto" w:after="0" w:before="0"/>
      </w:pPr>
      <w:r>
        <w:rPr>
          <w:rFonts w:ascii="Consolas" w:hAnsi="Consolas"/>
          <w:sz w:val="16"/>
        </w:rPr>
        <w:t>odds_ratio = (contingency.iloc[1, 1] / contingency.iloc[1, 0]) / \</w:t>
      </w:r>
    </w:p>
    <w:p>
      <w:pPr>
        <w:spacing w:line="240" w:lineRule="auto" w:after="0" w:before="0"/>
      </w:pPr>
      <w:r>
        <w:rPr>
          <w:rFonts w:ascii="Consolas" w:hAnsi="Consolas"/>
          <w:sz w:val="16"/>
        </w:rPr>
        <w:t xml:space="preserve">             (contingency.iloc[0, 1] / contingency.iloc[0, 0])</w:t>
      </w:r>
    </w:p>
    <w:p>
      <w:pPr>
        <w:spacing w:line="240" w:lineRule="auto" w:after="0" w:before="0"/>
      </w:pPr>
      <w:r>
        <w:rPr>
          <w:rFonts w:ascii="Consolas" w:hAnsi="Consolas"/>
          <w:sz w:val="16"/>
        </w:rPr>
        <w:t>print(f"Odds Ratio = {odds_ratio:.2f}")</w:t>
      </w:r>
    </w:p>
    <w:p>
      <w:pPr>
        <w:spacing w:after="120"/>
      </w:pPr>
    </w:p>
    <w:p>
      <w:pPr>
        <w:spacing w:after="40"/>
      </w:pPr>
      <w:r>
        <w:rPr>
          <w:rFonts w:ascii="Calibri" w:hAnsi="Calibri"/>
          <w:b/>
          <w:i/>
          <w:sz w:val="20"/>
        </w:rPr>
        <w:t>Code Excerpt A.3 -- Career development score t-test</w:t>
      </w:r>
    </w:p>
    <w:p>
      <w:pPr>
        <w:spacing w:line="240" w:lineRule="auto" w:after="0" w:before="0"/>
      </w:pPr>
      <w:r>
        <w:rPr>
          <w:rFonts w:ascii="Consolas" w:hAnsi="Consolas"/>
          <w:sz w:val="16"/>
        </w:rPr>
        <w:t># -- Career Development Score Comparison --</w:t>
      </w:r>
    </w:p>
    <w:p>
      <w:pPr>
        <w:spacing w:line="240" w:lineRule="auto" w:after="0" w:before="0"/>
      </w:pPr>
      <w:r>
        <w:rPr>
          <w:rFonts w:ascii="Consolas" w:hAnsi="Consolas"/>
          <w:sz w:val="16"/>
        </w:rPr>
      </w:r>
    </w:p>
    <w:p>
      <w:pPr>
        <w:spacing w:line="240" w:lineRule="auto" w:after="0" w:before="0"/>
      </w:pPr>
      <w:r>
        <w:rPr>
          <w:rFonts w:ascii="Consolas" w:hAnsi="Consolas"/>
          <w:sz w:val="16"/>
        </w:rPr>
        <w:t># Average career_development across all waves per employee</w:t>
      </w:r>
    </w:p>
    <w:p>
      <w:pPr>
        <w:spacing w:line="240" w:lineRule="auto" w:after="0" w:before="0"/>
      </w:pPr>
      <w:r>
        <w:rPr>
          <w:rFonts w:ascii="Consolas" w:hAnsi="Consolas"/>
          <w:sz w:val="16"/>
        </w:rPr>
        <w:t>cd_agg = eng.groupby("employee_id")["career_development"].mean().reset_index()</w:t>
      </w:r>
    </w:p>
    <w:p>
      <w:pPr>
        <w:spacing w:line="240" w:lineRule="auto" w:after="0" w:before="0"/>
      </w:pPr>
      <w:r>
        <w:rPr>
          <w:rFonts w:ascii="Consolas" w:hAnsi="Consolas"/>
          <w:sz w:val="16"/>
        </w:rPr>
        <w:t>emp_cd = emp.merge(cd_agg, on="employee_id", how="left")</w:t>
      </w:r>
    </w:p>
    <w:p>
      <w:pPr>
        <w:spacing w:line="240" w:lineRule="auto" w:after="0" w:before="0"/>
      </w:pPr>
      <w:r>
        <w:rPr>
          <w:rFonts w:ascii="Consolas" w:hAnsi="Consolas"/>
          <w:sz w:val="16"/>
        </w:rPr>
      </w:r>
    </w:p>
    <w:p>
      <w:pPr>
        <w:spacing w:line="240" w:lineRule="auto" w:after="0" w:before="0"/>
      </w:pPr>
      <w:r>
        <w:rPr>
          <w:rFonts w:ascii="Consolas" w:hAnsi="Consolas"/>
          <w:sz w:val="16"/>
        </w:rPr>
        <w:t>hipo_cd = emp_cd[emp_cd["hipo_flag"] == True]["career_development"].dropna()</w:t>
      </w:r>
    </w:p>
    <w:p>
      <w:pPr>
        <w:spacing w:line="240" w:lineRule="auto" w:after="0" w:before="0"/>
      </w:pPr>
      <w:r>
        <w:rPr>
          <w:rFonts w:ascii="Consolas" w:hAnsi="Consolas"/>
          <w:sz w:val="16"/>
        </w:rPr>
        <w:t>non_hipo_cd = emp_cd[emp_cd["hipo_flag"] == False]["career_development"].dropna()</w:t>
      </w:r>
    </w:p>
    <w:p>
      <w:pPr>
        <w:spacing w:line="240" w:lineRule="auto" w:after="0" w:before="0"/>
      </w:pPr>
      <w:r>
        <w:rPr>
          <w:rFonts w:ascii="Consolas" w:hAnsi="Consolas"/>
          <w:sz w:val="16"/>
        </w:rPr>
      </w:r>
    </w:p>
    <w:p>
      <w:pPr>
        <w:spacing w:line="240" w:lineRule="auto" w:after="0" w:before="0"/>
      </w:pPr>
      <w:r>
        <w:rPr>
          <w:rFonts w:ascii="Consolas" w:hAnsi="Consolas"/>
          <w:sz w:val="16"/>
        </w:rPr>
        <w:t>print(f"HiPo: mean = {hipo_cd.mean():.3f}, sd = {hipo_cd.std():.3f}, n = {len(hipo_cd)}")</w:t>
      </w:r>
    </w:p>
    <w:p>
      <w:pPr>
        <w:spacing w:line="240" w:lineRule="auto" w:after="0" w:before="0"/>
      </w:pPr>
      <w:r>
        <w:rPr>
          <w:rFonts w:ascii="Consolas" w:hAnsi="Consolas"/>
          <w:sz w:val="16"/>
        </w:rPr>
        <w:t>print(f"Non-HiPo: mean = {non_hipo_cd.mean():.3f}, "</w:t>
      </w:r>
    </w:p>
    <w:p>
      <w:pPr>
        <w:spacing w:line="240" w:lineRule="auto" w:after="0" w:before="0"/>
      </w:pPr>
      <w:r>
        <w:rPr>
          <w:rFonts w:ascii="Consolas" w:hAnsi="Consolas"/>
          <w:sz w:val="16"/>
        </w:rPr>
        <w:t xml:space="preserve">      f"sd = {non_hipo_cd.std():.3f}, n = {len(non_hipo_cd)}")</w:t>
      </w:r>
    </w:p>
    <w:p>
      <w:pPr>
        <w:spacing w:line="240" w:lineRule="auto" w:after="0" w:before="0"/>
      </w:pPr>
      <w:r>
        <w:rPr>
          <w:rFonts w:ascii="Consolas" w:hAnsi="Consolas"/>
          <w:sz w:val="16"/>
        </w:rPr>
      </w:r>
    </w:p>
    <w:p>
      <w:pPr>
        <w:spacing w:line="240" w:lineRule="auto" w:after="0" w:before="0"/>
      </w:pPr>
      <w:r>
        <w:rPr>
          <w:rFonts w:ascii="Consolas" w:hAnsi="Consolas"/>
          <w:sz w:val="16"/>
        </w:rPr>
        <w:t># Welch's t-test (does not assume equal variances)</w:t>
      </w:r>
    </w:p>
    <w:p>
      <w:pPr>
        <w:spacing w:line="240" w:lineRule="auto" w:after="0" w:before="0"/>
      </w:pPr>
      <w:r>
        <w:rPr>
          <w:rFonts w:ascii="Consolas" w:hAnsi="Consolas"/>
          <w:sz w:val="16"/>
        </w:rPr>
        <w:t>t_stat, t_p = ttest_ind(hipo_cd, non_hipo_cd, equal_var=False)</w:t>
      </w:r>
    </w:p>
    <w:p>
      <w:pPr>
        <w:spacing w:line="240" w:lineRule="auto" w:after="0" w:before="0"/>
      </w:pPr>
      <w:r>
        <w:rPr>
          <w:rFonts w:ascii="Consolas" w:hAnsi="Consolas"/>
          <w:sz w:val="16"/>
        </w:rPr>
        <w:t>print(f"t = {t_stat:.3f}, p = {t_p:.3f}")</w:t>
      </w:r>
    </w:p>
    <w:p>
      <w:pPr>
        <w:spacing w:after="120"/>
      </w:pPr>
    </w:p>
    <w:p>
      <w:pPr>
        <w:spacing w:after="40"/>
      </w:pPr>
      <w:r>
        <w:rPr>
          <w:rFonts w:ascii="Calibri" w:hAnsi="Calibri"/>
          <w:b/>
          <w:i/>
          <w:sz w:val="20"/>
        </w:rPr>
        <w:t>Code Excerpt A.4 -- Promotion eligibility cross-reference</w:t>
      </w:r>
    </w:p>
    <w:p>
      <w:pPr>
        <w:spacing w:line="240" w:lineRule="auto" w:after="0" w:before="0"/>
      </w:pPr>
      <w:r>
        <w:rPr>
          <w:rFonts w:ascii="Consolas" w:hAnsi="Consolas"/>
          <w:sz w:val="16"/>
        </w:rPr>
        <w:t># -- Promotion Eligibility Cross-Reference --</w:t>
      </w:r>
    </w:p>
    <w:p>
      <w:pPr>
        <w:spacing w:line="240" w:lineRule="auto" w:after="0" w:before="0"/>
      </w:pPr>
      <w:r>
        <w:rPr>
          <w:rFonts w:ascii="Consolas" w:hAnsi="Consolas"/>
          <w:sz w:val="16"/>
        </w:rPr>
      </w:r>
    </w:p>
    <w:p>
      <w:pPr>
        <w:spacing w:line="240" w:lineRule="auto" w:after="0" w:before="0"/>
      </w:pPr>
      <w:r>
        <w:rPr>
          <w:rFonts w:ascii="Consolas" w:hAnsi="Consolas"/>
          <w:sz w:val="16"/>
        </w:rPr>
        <w:t>promo_hipo = hipo["promotion_eligible"].mean() * 100</w:t>
      </w:r>
    </w:p>
    <w:p>
      <w:pPr>
        <w:spacing w:line="240" w:lineRule="auto" w:after="0" w:before="0"/>
      </w:pPr>
      <w:r>
        <w:rPr>
          <w:rFonts w:ascii="Consolas" w:hAnsi="Consolas"/>
          <w:sz w:val="16"/>
        </w:rPr>
        <w:t>promo_non = non_hipo["promotion_eligible"].mean() * 100</w:t>
      </w:r>
    </w:p>
    <w:p>
      <w:pPr>
        <w:spacing w:line="240" w:lineRule="auto" w:after="0" w:before="0"/>
      </w:pPr>
      <w:r>
        <w:rPr>
          <w:rFonts w:ascii="Consolas" w:hAnsi="Consolas"/>
          <w:sz w:val="16"/>
        </w:rPr>
        <w:t>print(f"HiPo promo-eligible: {promo_hipo:.1f}%")</w:t>
      </w:r>
    </w:p>
    <w:p>
      <w:pPr>
        <w:spacing w:line="240" w:lineRule="auto" w:after="0" w:before="0"/>
      </w:pPr>
      <w:r>
        <w:rPr>
          <w:rFonts w:ascii="Consolas" w:hAnsi="Consolas"/>
          <w:sz w:val="16"/>
        </w:rPr>
        <w:t>print(f"Non-HiPo promo-eligible: {promo_non:.1f}%")</w:t>
      </w:r>
    </w:p>
    <w:p>
      <w:pPr>
        <w:spacing w:line="240" w:lineRule="auto" w:after="0" w:before="0"/>
      </w:pPr>
      <w:r>
        <w:rPr>
          <w:rFonts w:ascii="Consolas" w:hAnsi="Consolas"/>
          <w:sz w:val="16"/>
        </w:rPr>
      </w:r>
    </w:p>
    <w:p>
      <w:pPr>
        <w:spacing w:line="240" w:lineRule="auto" w:after="0" w:before="0"/>
      </w:pPr>
      <w:r>
        <w:rPr>
          <w:rFonts w:ascii="Consolas" w:hAnsi="Consolas"/>
          <w:sz w:val="16"/>
        </w:rPr>
        <w:t>contingency_promo = pd.crosstab(emp["hipo_flag"], emp["promotion_eligible"])</w:t>
      </w:r>
    </w:p>
    <w:p>
      <w:pPr>
        <w:spacing w:line="240" w:lineRule="auto" w:after="0" w:before="0"/>
      </w:pPr>
      <w:r>
        <w:rPr>
          <w:rFonts w:ascii="Consolas" w:hAnsi="Consolas"/>
          <w:sz w:val="16"/>
        </w:rPr>
        <w:t>chi2_p, p_p, _, _ = chi2_contingency(contingency_promo)</w:t>
      </w:r>
    </w:p>
    <w:p>
      <w:pPr>
        <w:spacing w:line="240" w:lineRule="auto" w:after="0" w:before="0"/>
      </w:pPr>
      <w:r>
        <w:rPr>
          <w:rFonts w:ascii="Consolas" w:hAnsi="Consolas"/>
          <w:sz w:val="16"/>
        </w:rPr>
        <w:t>print(f"Chi-square = {chi2_p:.3f}, p = {p_p:.4f}")</w:t>
      </w:r>
    </w:p>
    <w:p>
      <w:pPr>
        <w:spacing w:after="120"/>
      </w:pPr>
    </w:p>
    <w:p>
      <w:pPr>
        <w:spacing w:after="40"/>
      </w:pPr>
      <w:r>
        <w:rPr>
          <w:rFonts w:ascii="Calibri" w:hAnsi="Calibri"/>
          <w:b/>
          <w:i/>
          <w:sz w:val="20"/>
        </w:rPr>
        <w:t>Code Excerpt A.5 -- Regrettable exit analysis</w:t>
      </w:r>
    </w:p>
    <w:p>
      <w:pPr>
        <w:spacing w:line="240" w:lineRule="auto" w:after="0" w:before="0"/>
      </w:pPr>
      <w:r>
        <w:rPr>
          <w:rFonts w:ascii="Consolas" w:hAnsi="Consolas"/>
          <w:sz w:val="16"/>
        </w:rPr>
        <w:t># -- Regrettable Exit Analysis --</w:t>
      </w:r>
    </w:p>
    <w:p>
      <w:pPr>
        <w:spacing w:line="240" w:lineRule="auto" w:after="0" w:before="0"/>
      </w:pPr>
      <w:r>
        <w:rPr>
          <w:rFonts w:ascii="Consolas" w:hAnsi="Consolas"/>
          <w:sz w:val="16"/>
        </w:rPr>
      </w:r>
    </w:p>
    <w:p>
      <w:pPr>
        <w:spacing w:line="240" w:lineRule="auto" w:after="0" w:before="0"/>
      </w:pPr>
      <w:r>
        <w:rPr>
          <w:rFonts w:ascii="Consolas" w:hAnsi="Consolas"/>
          <w:sz w:val="16"/>
        </w:rPr>
        <w:t>regrettable = vol[vol["regrettable_flag"] == True]</w:t>
      </w:r>
    </w:p>
    <w:p>
      <w:pPr>
        <w:spacing w:line="240" w:lineRule="auto" w:after="0" w:before="0"/>
      </w:pPr>
      <w:r>
        <w:rPr>
          <w:rFonts w:ascii="Consolas" w:hAnsi="Consolas"/>
          <w:sz w:val="16"/>
        </w:rPr>
        <w:t>reg_ids = set(regrettable["employee_id"].unique())</w:t>
      </w:r>
    </w:p>
    <w:p>
      <w:pPr>
        <w:spacing w:line="240" w:lineRule="auto" w:after="0" w:before="0"/>
      </w:pPr>
      <w:r>
        <w:rPr>
          <w:rFonts w:ascii="Consolas" w:hAnsi="Consolas"/>
          <w:sz w:val="16"/>
        </w:rPr>
      </w:r>
    </w:p>
    <w:p>
      <w:pPr>
        <w:spacing w:line="240" w:lineRule="auto" w:after="0" w:before="0"/>
      </w:pPr>
      <w:r>
        <w:rPr>
          <w:rFonts w:ascii="Consolas" w:hAnsi="Consolas"/>
          <w:sz w:val="16"/>
        </w:rPr>
        <w:t>emp["regrettable_exit"] = emp["employee_id"].isin(reg_ids).astype(int)</w:t>
      </w:r>
    </w:p>
    <w:p>
      <w:pPr>
        <w:spacing w:line="240" w:lineRule="auto" w:after="0" w:before="0"/>
      </w:pPr>
      <w:r>
        <w:rPr>
          <w:rFonts w:ascii="Consolas" w:hAnsi="Consolas"/>
          <w:sz w:val="16"/>
        </w:rPr>
        <w:t>hipo_reg = emp[emp["hipo_flag"] == True]["regrettable_exit"].sum()</w:t>
      </w:r>
    </w:p>
    <w:p>
      <w:pPr>
        <w:spacing w:line="240" w:lineRule="auto" w:after="0" w:before="0"/>
      </w:pPr>
      <w:r>
        <w:rPr>
          <w:rFonts w:ascii="Consolas" w:hAnsi="Consolas"/>
          <w:sz w:val="16"/>
        </w:rPr>
        <w:t>non_hipo_reg = emp[emp["hipo_flag"] == False]["regrettable_exit"].sum()</w:t>
      </w:r>
    </w:p>
    <w:p>
      <w:pPr>
        <w:spacing w:line="240" w:lineRule="auto" w:after="0" w:before="0"/>
      </w:pPr>
      <w:r>
        <w:rPr>
          <w:rFonts w:ascii="Consolas" w:hAnsi="Consolas"/>
          <w:sz w:val="16"/>
        </w:rPr>
      </w:r>
    </w:p>
    <w:p>
      <w:pPr>
        <w:spacing w:line="240" w:lineRule="auto" w:after="0" w:before="0"/>
      </w:pPr>
      <w:r>
        <w:rPr>
          <w:rFonts w:ascii="Consolas" w:hAnsi="Consolas"/>
          <w:sz w:val="16"/>
        </w:rPr>
        <w:t>print(f"HiPo regrettable exits: {hipo_reg} "</w:t>
      </w:r>
    </w:p>
    <w:p>
      <w:pPr>
        <w:spacing w:line="240" w:lineRule="auto" w:after="0" w:before="0"/>
      </w:pPr>
      <w:r>
        <w:rPr>
          <w:rFonts w:ascii="Consolas" w:hAnsi="Consolas"/>
          <w:sz w:val="16"/>
        </w:rPr>
        <w:t xml:space="preserve">      f"({hipo_reg / len(hipo) * 100:.1f}%)")</w:t>
      </w:r>
    </w:p>
    <w:p>
      <w:pPr>
        <w:spacing w:line="240" w:lineRule="auto" w:after="0" w:before="0"/>
      </w:pPr>
      <w:r>
        <w:rPr>
          <w:rFonts w:ascii="Consolas" w:hAnsi="Consolas"/>
          <w:sz w:val="16"/>
        </w:rPr>
        <w:t>print(f"Non-HiPo regrettable exits: {non_hipo_reg} "</w:t>
      </w:r>
    </w:p>
    <w:p>
      <w:pPr>
        <w:spacing w:line="240" w:lineRule="auto" w:after="0" w:before="0"/>
      </w:pPr>
      <w:r>
        <w:rPr>
          <w:rFonts w:ascii="Consolas" w:hAnsi="Consolas"/>
          <w:sz w:val="16"/>
        </w:rPr>
        <w:t xml:space="preserve">      f"({non_hipo_reg / len(non_hipo) * 100:.1f}%)")</w:t>
      </w:r>
    </w:p>
    <w:p>
      <w:pPr>
        <w:spacing w:line="240" w:lineRule="auto" w:after="0" w:before="0"/>
      </w:pPr>
      <w:r>
        <w:rPr>
          <w:rFonts w:ascii="Consolas" w:hAnsi="Consolas"/>
          <w:sz w:val="16"/>
        </w:rPr>
      </w:r>
    </w:p>
    <w:p>
      <w:pPr>
        <w:spacing w:line="240" w:lineRule="auto" w:after="0" w:before="0"/>
      </w:pPr>
      <w:r>
        <w:rPr>
          <w:rFonts w:ascii="Consolas" w:hAnsi="Consolas"/>
          <w:sz w:val="16"/>
        </w:rPr>
        <w:t>contingency_reg = pd.crosstab(emp["hipo_flag"], emp["regrettable_exit"])</w:t>
      </w:r>
    </w:p>
    <w:p>
      <w:pPr>
        <w:spacing w:line="240" w:lineRule="auto" w:after="0" w:before="0"/>
      </w:pPr>
      <w:r>
        <w:rPr>
          <w:rFonts w:ascii="Consolas" w:hAnsi="Consolas"/>
          <w:sz w:val="16"/>
        </w:rPr>
        <w:t>chi2_r, p_r, _, _ = chi2_contingency(contingency_reg)</w:t>
      </w:r>
    </w:p>
    <w:p>
      <w:pPr>
        <w:spacing w:line="240" w:lineRule="auto" w:after="0" w:before="0"/>
      </w:pPr>
      <w:r>
        <w:rPr>
          <w:rFonts w:ascii="Consolas" w:hAnsi="Consolas"/>
          <w:sz w:val="16"/>
        </w:rPr>
        <w:t>print(f"Chi-square = {chi2_r:.1f}, p = {p_r:.6f}")</w:t>
      </w:r>
    </w:p>
    <w:p>
      <w:pPr>
        <w:spacing w:after="120"/>
      </w:pPr>
    </w:p>
    <w:p>
      <w:pPr>
        <w:spacing w:after="40"/>
      </w:pPr>
      <w:r>
        <w:rPr>
          <w:rFonts w:ascii="Calibri" w:hAnsi="Calibri"/>
          <w:b/>
          <w:i/>
          <w:sz w:val="20"/>
        </w:rPr>
        <w:t>Code Excerpt A.6 -- Cross-dimension engagement comparison</w:t>
      </w:r>
    </w:p>
    <w:p>
      <w:pPr>
        <w:spacing w:line="240" w:lineRule="auto" w:after="0" w:before="0"/>
      </w:pPr>
      <w:r>
        <w:rPr>
          <w:rFonts w:ascii="Consolas" w:hAnsi="Consolas"/>
          <w:sz w:val="16"/>
        </w:rPr>
        <w:t># -- Engagement Dimension Comparison (all 6 dimensions) --</w:t>
      </w:r>
    </w:p>
    <w:p>
      <w:pPr>
        <w:spacing w:line="240" w:lineRule="auto" w:after="0" w:before="0"/>
      </w:pPr>
      <w:r>
        <w:rPr>
          <w:rFonts w:ascii="Consolas" w:hAnsi="Consolas"/>
          <w:sz w:val="16"/>
        </w:rPr>
      </w:r>
    </w:p>
    <w:p>
      <w:pPr>
        <w:spacing w:line="240" w:lineRule="auto" w:after="0" w:before="0"/>
      </w:pPr>
      <w:r>
        <w:rPr>
          <w:rFonts w:ascii="Consolas" w:hAnsi="Consolas"/>
          <w:sz w:val="16"/>
        </w:rPr>
        <w:t>dimensions = [</w:t>
      </w:r>
    </w:p>
    <w:p>
      <w:pPr>
        <w:spacing w:line="240" w:lineRule="auto" w:after="0" w:before="0"/>
      </w:pPr>
      <w:r>
        <w:rPr>
          <w:rFonts w:ascii="Consolas" w:hAnsi="Consolas"/>
          <w:sz w:val="16"/>
        </w:rPr>
        <w:t xml:space="preserve">    "manager_effectiveness", "psychological_safety", "recognition",</w:t>
      </w:r>
    </w:p>
    <w:p>
      <w:pPr>
        <w:spacing w:line="240" w:lineRule="auto" w:after="0" w:before="0"/>
      </w:pPr>
      <w:r>
        <w:rPr>
          <w:rFonts w:ascii="Consolas" w:hAnsi="Consolas"/>
          <w:sz w:val="16"/>
        </w:rPr>
        <w:t xml:space="preserve">    "career_development", "senior_leadership_trust", "confidence_in_role_future"</w:t>
      </w:r>
    </w:p>
    <w:p>
      <w:pPr>
        <w:spacing w:line="240" w:lineRule="auto" w:after="0" w:before="0"/>
      </w:pPr>
      <w:r>
        <w:rPr>
          <w:rFonts w:ascii="Consolas" w:hAnsi="Consolas"/>
          <w:sz w:val="16"/>
        </w:rPr>
        <w:t>]</w:t>
      </w:r>
    </w:p>
    <w:p>
      <w:pPr>
        <w:spacing w:line="240" w:lineRule="auto" w:after="0" w:before="0"/>
      </w:pPr>
      <w:r>
        <w:rPr>
          <w:rFonts w:ascii="Consolas" w:hAnsi="Consolas"/>
          <w:sz w:val="16"/>
        </w:rPr>
      </w:r>
    </w:p>
    <w:p>
      <w:pPr>
        <w:spacing w:line="240" w:lineRule="auto" w:after="0" w:before="0"/>
      </w:pPr>
      <w:r>
        <w:rPr>
          <w:rFonts w:ascii="Consolas" w:hAnsi="Consolas"/>
          <w:sz w:val="16"/>
        </w:rPr>
        <w:t>for dim in dimensions:</w:t>
      </w:r>
    </w:p>
    <w:p>
      <w:pPr>
        <w:spacing w:line="240" w:lineRule="auto" w:after="0" w:before="0"/>
      </w:pPr>
      <w:r>
        <w:rPr>
          <w:rFonts w:ascii="Consolas" w:hAnsi="Consolas"/>
          <w:sz w:val="16"/>
        </w:rPr>
        <w:t xml:space="preserve">    agg = eng.groupby("employee_id")[dim].mean().reset_index()</w:t>
      </w:r>
    </w:p>
    <w:p>
      <w:pPr>
        <w:spacing w:line="240" w:lineRule="auto" w:after="0" w:before="0"/>
      </w:pPr>
      <w:r>
        <w:rPr>
          <w:rFonts w:ascii="Consolas" w:hAnsi="Consolas"/>
          <w:sz w:val="16"/>
        </w:rPr>
        <w:t xml:space="preserve">    merged = emp.merge(agg, on="employee_id", how="left")</w:t>
      </w:r>
    </w:p>
    <w:p>
      <w:pPr>
        <w:spacing w:line="240" w:lineRule="auto" w:after="0" w:before="0"/>
      </w:pPr>
      <w:r>
        <w:rPr>
          <w:rFonts w:ascii="Consolas" w:hAnsi="Consolas"/>
          <w:sz w:val="16"/>
        </w:rPr>
        <w:t xml:space="preserve">    h_val = merged[merged["hipo_flag"] == True][dim].mean()</w:t>
      </w:r>
    </w:p>
    <w:p>
      <w:pPr>
        <w:spacing w:line="240" w:lineRule="auto" w:after="0" w:before="0"/>
      </w:pPr>
      <w:r>
        <w:rPr>
          <w:rFonts w:ascii="Consolas" w:hAnsi="Consolas"/>
          <w:sz w:val="16"/>
        </w:rPr>
        <w:t xml:space="preserve">    n_val = merged[merged["hipo_flag"] == False][dim].mean()</w:t>
      </w:r>
    </w:p>
    <w:p>
      <w:pPr>
        <w:spacing w:line="240" w:lineRule="auto" w:after="0" w:before="0"/>
      </w:pPr>
      <w:r>
        <w:rPr>
          <w:rFonts w:ascii="Consolas" w:hAnsi="Consolas"/>
          <w:sz w:val="16"/>
        </w:rPr>
        <w:t xml:space="preserve">    t_s, t_pv = ttest_ind(</w:t>
      </w:r>
    </w:p>
    <w:p>
      <w:pPr>
        <w:spacing w:line="240" w:lineRule="auto" w:after="0" w:before="0"/>
      </w:pPr>
      <w:r>
        <w:rPr>
          <w:rFonts w:ascii="Consolas" w:hAnsi="Consolas"/>
          <w:sz w:val="16"/>
        </w:rPr>
        <w:t xml:space="preserve">        merged[merged["hipo_flag"] == True][dim].dropna(),</w:t>
      </w:r>
    </w:p>
    <w:p>
      <w:pPr>
        <w:spacing w:line="240" w:lineRule="auto" w:after="0" w:before="0"/>
      </w:pPr>
      <w:r>
        <w:rPr>
          <w:rFonts w:ascii="Consolas" w:hAnsi="Consolas"/>
          <w:sz w:val="16"/>
        </w:rPr>
        <w:t xml:space="preserve">        merged[merged["hipo_flag"] == False][dim].dropna()</w:t>
      </w:r>
    </w:p>
    <w:p>
      <w:pPr>
        <w:spacing w:line="240" w:lineRule="auto" w:after="0" w:before="0"/>
      </w:pPr>
      <w:r>
        <w:rPr>
          <w:rFonts w:ascii="Consolas" w:hAnsi="Consolas"/>
          <w:sz w:val="16"/>
        </w:rPr>
        <w:t xml:space="preserve">    )</w:t>
      </w:r>
    </w:p>
    <w:p>
      <w:pPr>
        <w:spacing w:line="240" w:lineRule="auto" w:after="0" w:before="0"/>
      </w:pPr>
      <w:r>
        <w:rPr>
          <w:rFonts w:ascii="Consolas" w:hAnsi="Consolas"/>
          <w:sz w:val="16"/>
        </w:rPr>
        <w:t xml:space="preserve">    print(f"{dim}: HiPo={h_val:.3f}, Non-HiPo={n_val:.3f}, "</w:t>
      </w:r>
    </w:p>
    <w:p>
      <w:pPr>
        <w:spacing w:line="240" w:lineRule="auto" w:after="0" w:before="0"/>
      </w:pPr>
      <w:r>
        <w:rPr>
          <w:rFonts w:ascii="Consolas" w:hAnsi="Consolas"/>
          <w:sz w:val="16"/>
        </w:rPr>
        <w:t xml:space="preserve">          f"diff={h_val - n_val:+.3f}, t={t_s:.2f}, p={t_pv:.3f}")</w:t>
      </w:r>
    </w:p>
    <w:p>
      <w:pPr>
        <w:spacing w:after="120"/>
      </w:pPr>
    </w:p>
    <w:p>
      <w:pPr>
        <w:spacing w:before="360" w:after="160"/>
      </w:pPr>
      <w:r>
        <w:rPr>
          <w:rFonts w:ascii="Calibri" w:hAnsi="Calibri"/>
          <w:b/>
          <w:color w:val="1F4E79"/>
          <w:sz w:val="32"/>
        </w:rPr>
        <w:t>0. Appendix B: Data File Inventory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
              <w:rPr>
                <w:rFonts w:ascii="Calibri" w:hAnsi="Calibri"/>
                <w:b/>
                <w:color w:val="FFFFFF"/>
                <w:sz w:val="20"/>
              </w:rPr>
              <w:t>File</w:t>
            </w:r>
          </w:p>
        </w:tc>
        <w:tc>
          <w:tcPr>
            <w:tcW w:type="dxa" w:w="2340"/>
            <w:shd w:fill="1F4E79"/>
          </w:tcPr>
          <w:p>
            <w:r/>
            <w:r>
              <w:rPr>
                <w:rFonts w:ascii="Calibri" w:hAnsi="Calibri"/>
                <w:b/>
                <w:color w:val="FFFFFF"/>
                <w:sz w:val="20"/>
              </w:rPr>
              <w:t>Rows</w:t>
            </w:r>
          </w:p>
        </w:tc>
        <w:tc>
          <w:tcPr>
            <w:tcW w:type="dxa" w:w="2340"/>
            <w:shd w:fill="1F4E79"/>
          </w:tcPr>
          <w:p>
            <w:r/>
            <w:r>
              <w:rPr>
                <w:rFonts w:ascii="Calibri" w:hAnsi="Calibri"/>
                <w:b/>
                <w:color w:val="FFFFFF"/>
                <w:sz w:val="20"/>
              </w:rPr>
              <w:t>Columns</w:t>
            </w:r>
          </w:p>
        </w:tc>
        <w:tc>
          <w:tcPr>
            <w:tcW w:type="dxa" w:w="2340"/>
            <w:shd w:fill="1F4E79"/>
          </w:tcPr>
          <w:p>
            <w:r/>
            <w:r>
              <w:rPr>
                <w:rFonts w:ascii="Calibri" w:hAnsi="Calibri"/>
                <w:b/>
                <w:color w:val="FFFFFF"/>
                <w:sz w:val="20"/>
              </w:rPr>
              <w:t>Key Fields Used</w:t>
            </w:r>
          </w:p>
        </w:tc>
      </w:tr>
      <w:tr>
        <w:tc>
          <w:tcPr>
            <w:tcW w:type="dxa" w:w="2340"/>
            <w:shd w:fill="F2F6FA"/>
          </w:tcPr>
          <w:p>
            <w:r/>
            <w:r>
              <w:rPr>
                <w:rFonts w:ascii="Calibri" w:hAnsi="Calibri"/>
                <w:b w:val="0"/>
                <w:sz w:val="20"/>
              </w:rPr>
              <w:t>employees.csv</w:t>
            </w:r>
          </w:p>
        </w:tc>
        <w:tc>
          <w:tcPr>
            <w:tcW w:type="dxa" w:w="2340"/>
            <w:shd w:fill="F2F6FA"/>
          </w:tcPr>
          <w:p>
            <w:r/>
            <w:r>
              <w:rPr>
                <w:rFonts w:ascii="Calibri" w:hAnsi="Calibri"/>
                <w:b w:val="0"/>
                <w:sz w:val="20"/>
              </w:rPr>
              <w:t>13,403</w:t>
            </w:r>
          </w:p>
        </w:tc>
        <w:tc>
          <w:tcPr>
            <w:tcW w:type="dxa" w:w="2340"/>
            <w:shd w:fill="F2F6FA"/>
          </w:tcPr>
          <w:p>
            <w:r/>
            <w:r>
              <w:rPr>
                <w:rFonts w:ascii="Calibri" w:hAnsi="Calibri"/>
                <w:b w:val="0"/>
                <w:sz w:val="20"/>
              </w:rPr>
              <w:t>22</w:t>
            </w:r>
          </w:p>
        </w:tc>
        <w:tc>
          <w:tcPr>
            <w:tcW w:type="dxa" w:w="2340"/>
            <w:shd w:fill="F2F6FA"/>
          </w:tcPr>
          <w:p>
            <w:r/>
            <w:r>
              <w:rPr>
                <w:rFonts w:ascii="Calibri" w:hAnsi="Calibri"/>
                <w:b w:val="0"/>
                <w:sz w:val="20"/>
              </w:rPr>
              <w:t>employee_id, hipo_flag, promotion_eligible, department, status, tenure_months</w:t>
            </w:r>
          </w:p>
        </w:tc>
      </w:tr>
      <w:tr>
        <w:tc>
          <w:tcPr>
            <w:tcW w:type="dxa" w:w="2340"/>
          </w:tcPr>
          <w:p>
            <w:r/>
            <w:r>
              <w:rPr>
                <w:rFonts w:ascii="Calibri" w:hAnsi="Calibri"/>
                <w:b w:val="0"/>
                <w:sz w:val="20"/>
              </w:rPr>
              <w:t>attrition_log.csv</w:t>
            </w:r>
          </w:p>
        </w:tc>
        <w:tc>
          <w:tcPr>
            <w:tcW w:type="dxa" w:w="2340"/>
          </w:tcPr>
          <w:p>
            <w:r/>
            <w:r>
              <w:rPr>
                <w:rFonts w:ascii="Calibri" w:hAnsi="Calibri"/>
                <w:b w:val="0"/>
                <w:sz w:val="20"/>
              </w:rPr>
              <w:t>1,400</w:t>
            </w:r>
          </w:p>
        </w:tc>
        <w:tc>
          <w:tcPr>
            <w:tcW w:type="dxa" w:w="2340"/>
          </w:tcPr>
          <w:p>
            <w:r/>
            <w:r>
              <w:rPr>
                <w:rFonts w:ascii="Calibri" w:hAnsi="Calibri"/>
                <w:b w:val="0"/>
                <w:sz w:val="20"/>
              </w:rPr>
              <w:t>10</w:t>
            </w:r>
          </w:p>
        </w:tc>
        <w:tc>
          <w:tcPr>
            <w:tcW w:type="dxa" w:w="2340"/>
          </w:tcPr>
          <w:p>
            <w:r/>
            <w:r>
              <w:rPr>
                <w:rFonts w:ascii="Calibri" w:hAnsi="Calibri"/>
                <w:b w:val="0"/>
                <w:sz w:val="20"/>
              </w:rPr>
              <w:t>employee_id, exit_type, exit_date, regrettable_flag</w:t>
            </w:r>
          </w:p>
        </w:tc>
      </w:tr>
      <w:tr>
        <w:tc>
          <w:tcPr>
            <w:tcW w:type="dxa" w:w="2340"/>
            <w:shd w:fill="F2F6FA"/>
          </w:tcPr>
          <w:p>
            <w:r/>
            <w:r>
              <w:rPr>
                <w:rFonts w:ascii="Calibri" w:hAnsi="Calibri"/>
                <w:b w:val="0"/>
                <w:sz w:val="20"/>
              </w:rPr>
              <w:t>engagement.csv</w:t>
            </w:r>
          </w:p>
        </w:tc>
        <w:tc>
          <w:tcPr>
            <w:tcW w:type="dxa" w:w="2340"/>
            <w:shd w:fill="F2F6FA"/>
          </w:tcPr>
          <w:p>
            <w:r/>
            <w:r>
              <w:rPr>
                <w:rFonts w:ascii="Calibri" w:hAnsi="Calibri"/>
                <w:b w:val="0"/>
                <w:sz w:val="20"/>
              </w:rPr>
              <w:t>55,972</w:t>
            </w:r>
          </w:p>
        </w:tc>
        <w:tc>
          <w:tcPr>
            <w:tcW w:type="dxa" w:w="2340"/>
            <w:shd w:fill="F2F6FA"/>
          </w:tcPr>
          <w:p>
            <w:r/>
            <w:r>
              <w:rPr>
                <w:rFonts w:ascii="Calibri" w:hAnsi="Calibri"/>
                <w:b w:val="0"/>
                <w:sz w:val="20"/>
              </w:rPr>
              <w:t>10</w:t>
            </w:r>
          </w:p>
        </w:tc>
        <w:tc>
          <w:tcPr>
            <w:tcW w:type="dxa" w:w="2340"/>
            <w:shd w:fill="F2F6FA"/>
          </w:tcPr>
          <w:p>
            <w:r/>
            <w:r>
              <w:rPr>
                <w:rFonts w:ascii="Calibri" w:hAnsi="Calibri"/>
                <w:b w:val="0"/>
                <w:sz w:val="20"/>
              </w:rPr>
              <w:t>employee_id, wave_number, career_development, manager_effectiveness, recognition</w:t>
            </w:r>
          </w:p>
        </w:tc>
      </w:tr>
      <w:tr>
        <w:tc>
          <w:tcPr>
            <w:tcW w:type="dxa" w:w="2340"/>
          </w:tcPr>
          <w:p>
            <w:r/>
            <w:r>
              <w:rPr>
                <w:rFonts w:ascii="Calibri" w:hAnsi="Calibri"/>
                <w:b w:val="0"/>
                <w:sz w:val="20"/>
              </w:rPr>
              <w:t>performance.csv</w:t>
            </w:r>
          </w:p>
        </w:tc>
        <w:tc>
          <w:tcPr>
            <w:tcW w:type="dxa" w:w="2340"/>
          </w:tcPr>
          <w:p>
            <w:r/>
            <w:r>
              <w:rPr>
                <w:rFonts w:ascii="Calibri" w:hAnsi="Calibri"/>
                <w:b w:val="0"/>
                <w:sz w:val="20"/>
              </w:rPr>
              <w:t>34,980</w:t>
            </w:r>
          </w:p>
        </w:tc>
        <w:tc>
          <w:tcPr>
            <w:tcW w:type="dxa" w:w="2340"/>
          </w:tcPr>
          <w:p>
            <w:r/>
            <w:r>
              <w:rPr>
                <w:rFonts w:ascii="Calibri" w:hAnsi="Calibri"/>
                <w:b w:val="0"/>
                <w:sz w:val="20"/>
              </w:rPr>
              <w:t>6</w:t>
            </w:r>
          </w:p>
        </w:tc>
        <w:tc>
          <w:tcPr>
            <w:tcW w:type="dxa" w:w="2340"/>
          </w:tcPr>
          <w:p>
            <w:r/>
            <w:r>
              <w:rPr>
                <w:rFonts w:ascii="Calibri" w:hAnsi="Calibri"/>
                <w:b w:val="0"/>
                <w:sz w:val="20"/>
              </w:rPr>
              <w:t>employee_id, performance_rating, review_cycle, goal_achievement_score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