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170" w:rsidRPr="00842170" w:rsidRDefault="00842170" w:rsidP="0084217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Homework</w:t>
      </w:r>
    </w:p>
    <w:p w:rsidR="00842170" w:rsidRPr="00842170" w:rsidRDefault="00842170" w:rsidP="00842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217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Effective Teaching–Learning Process despite Limited Time for Syllabus Completion and Institutional Constraints</w:t>
      </w:r>
    </w:p>
    <w:p w:rsidR="00842170" w:rsidRPr="00842170" w:rsidRDefault="00842170" w:rsidP="00842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8421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622E3" w:rsidRPr="004622E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One</w:t>
      </w:r>
      <w:r w:rsidRPr="004622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-page</w:t>
      </w:r>
      <w:r w:rsidRPr="00842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reflective note</w:t>
      </w:r>
      <w:r w:rsidRPr="00842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addressing the following points:</w: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Time Optimization Strategies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complete the syllabus effectively within limited time,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micro-planning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adopted by breaking each unit into achievable weekly learning outcomes.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Outcome-Based Education (OBE)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followed, where core concepts and application-oriented topics were prioritized. For example, in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Organic Chemistry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reaction mechanisms were taught in class, while factual content such as named reactions and examples were provided through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reading materials (flipped classroom)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Blended learning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online videos and PPTs helped cover theoretical portions without extending classroom hours.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Innovative Teaching Practices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ICT tools such as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PowerPoint presentations, animations, molecular visualization software, and virtual laboratory simulations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used to explain complex scientific concepts efficiently. For example,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labs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used to demonstrate titration, chromatography, and spectroscopy experiments when laboratory time was limited. Students were encouraged to </w:t>
      </w:r>
      <w:proofErr w:type="spellStart"/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SWAYAM/MOOC courses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spectroscopy, nanotechnology, or bioinformatics to reinforce learning.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Problem-based learning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implemented by discussing real-life applications such as drug design, environmental pollution analysis, and renewable energy materials.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Handling Institutional Constraints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class size was managed through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group-based learning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peer instruction, and rotation of student presentations. Limited laboratory infrastructure was addressed by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batch-wise practical sessions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demonstration experiments, and data interpretation exercises using previously generated experimental data. Administrative workload was managed by integrating assessments with regular teaching activities, such as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in-class quizzes and short assignments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learning continuity without compromising academic quality.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Student Engagement Techniques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maintain student interest in time-bound teaching,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quizzes, MCQ-based tests, and concept checks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conducted at the end of each lecture. Techniques such as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think–pair–share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used during problem-solving sessions in Physics and Chemistry. Assignments 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included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studies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industrial processes, environmental issues, or recent scientific advancements. These activities promoted active learning and improved classroom interaction even within limited time.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Learning Outcome Achievement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Achievement of course outcomes was evidenced through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internal assessment scores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quality of student assignments, and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student feedback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demonstrated better conceptual clarity in examinations, practical skills in laboratory work, and analytical ability in problem-solving and spectral interpretation exercises. Continuous assessment data indicated alignment between teaching strategies and intended learning outcomes.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Best Practice Identified</w:t>
      </w:r>
    </w:p>
    <w:p w:rsidR="006B2305" w:rsidRPr="006B2305" w:rsidRDefault="006B2305" w:rsidP="006B2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Blended learning combined with outcome-based micro-planning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emerged as the best practice. This approach enabled effective syllabus completion, enhanced conceptual understanding, and optimized classroom time, especially under institutional and time constraints.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B2305" w:rsidRPr="006B2305" w:rsidRDefault="006B2305" w:rsidP="006B2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3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Future Action Plan</w:t>
      </w:r>
    </w:p>
    <w:p w:rsidR="006B2305" w:rsidRPr="006B2305" w:rsidRDefault="006B2305" w:rsidP="006B2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more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department-level digital learning resources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recorded lectures, virtual experiments, and question banks for self-learning.</w:t>
      </w:r>
    </w:p>
    <w:p w:rsidR="006B2305" w:rsidRPr="006B2305" w:rsidRDefault="006B2305" w:rsidP="006B2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increase the use of </w:t>
      </w:r>
      <w:r w:rsidRPr="006B23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experiential and research-oriented assignments</w:t>
      </w: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mini-projects and interdisciplinary case studies, to further strengthen learning outcomes in constrained academic environments.</w:t>
      </w:r>
    </w:p>
    <w:p w:rsidR="006B2305" w:rsidRPr="006B2305" w:rsidRDefault="006B2305" w:rsidP="006B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3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  <w:bookmarkStart w:id="0" w:name="_GoBack"/>
      <w:bookmarkEnd w:id="0"/>
    </w:p>
    <w:sectPr w:rsidR="006B2305" w:rsidRPr="006B2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17E55"/>
    <w:multiLevelType w:val="multilevel"/>
    <w:tmpl w:val="BFBC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C7025"/>
    <w:multiLevelType w:val="multilevel"/>
    <w:tmpl w:val="104C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60512"/>
    <w:multiLevelType w:val="multilevel"/>
    <w:tmpl w:val="4C5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296"/>
    <w:rsid w:val="00125FFA"/>
    <w:rsid w:val="00444872"/>
    <w:rsid w:val="004622E3"/>
    <w:rsid w:val="00543FC2"/>
    <w:rsid w:val="006B2305"/>
    <w:rsid w:val="00842170"/>
    <w:rsid w:val="00C1639F"/>
    <w:rsid w:val="00F8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206F9-4478-4CAA-B41B-A6938C85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2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2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21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21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84217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2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2170"/>
    <w:rPr>
      <w:b/>
      <w:bCs/>
    </w:rPr>
  </w:style>
  <w:style w:type="paragraph" w:styleId="ListParagraph">
    <w:name w:val="List Paragraph"/>
    <w:basedOn w:val="Normal"/>
    <w:uiPriority w:val="34"/>
    <w:qFormat/>
    <w:rsid w:val="00444872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23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230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B2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23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2305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1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1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5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Khairnar, Vilas</dc:creator>
  <cp:keywords/>
  <dc:description/>
  <cp:lastModifiedBy>Khairnar, Vilas</cp:lastModifiedBy>
  <cp:revision>6</cp:revision>
  <dcterms:created xsi:type="dcterms:W3CDTF">2026-01-03T16:20:00Z</dcterms:created>
  <dcterms:modified xsi:type="dcterms:W3CDTF">2026-01-04T04:28:00Z</dcterms:modified>
</cp:coreProperties>
</file>