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02E7F">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ascii="Times New Roman" w:hAnsi="Times New Roman"/>
          <w:sz w:val="32"/>
          <w:szCs w:val="20"/>
        </w:rPr>
      </w:pPr>
      <w:r>
        <w:rPr>
          <w:rFonts w:ascii="Times New Roman" w:hAnsi="Times New Roman"/>
          <w:sz w:val="32"/>
          <w:szCs w:val="20"/>
        </w:rPr>
        <w:t>一、会议基本信息</w:t>
      </w:r>
    </w:p>
    <w:p w14:paraId="00AB274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Times New Roman" w:hAnsi="Times New Roman"/>
        </w:rPr>
      </w:pPr>
      <w:r>
        <w:rPr>
          <w:rFonts w:ascii="Times New Roman" w:hAnsi="Times New Roman"/>
        </w:rPr>
        <w:t xml:space="preserve">本次线上会议主题为 </w:t>
      </w:r>
      <w:r>
        <w:rPr>
          <w:rStyle w:val="7"/>
          <w:rFonts w:ascii="Times New Roman" w:hAnsi="Times New Roman"/>
        </w:rPr>
        <w:t>“AI and Cancer Webinar”</w:t>
      </w:r>
      <w:r>
        <w:rPr>
          <w:rFonts w:ascii="Times New Roman" w:hAnsi="Times New Roman"/>
        </w:rPr>
        <w:t>，围绕人工智能在癌症研究、临床诊疗、医学数据分析和医疗系统建设中的应用展开。会议形式为线上直播/线上研讨会，内容属于人工智能与医学科研交叉领域，具有较强的前沿性和现实意义。作为人工智能学院研究生，我对医学人工智能、计算机视觉、深度学习模型在真实场景中的应用较为关注，同时目前在医院实习，参与碎骨拼接相关方向的研究与开发。因此，本次会议内容与我的专业学习、科研训练以及实习经历都具有较高关联度。</w:t>
      </w:r>
    </w:p>
    <w:p w14:paraId="08A4FBD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ascii="Times New Roman" w:hAnsi="Times New Roman"/>
        </w:rPr>
      </w:pPr>
      <w:r>
        <w:rPr>
          <w:rFonts w:ascii="Times New Roman" w:hAnsi="Times New Roman"/>
        </w:rPr>
        <w:t>近年来，人工智能技术快速发展，尤其是深度学习、视觉语言模型、大模型和多模态学习的发展，使AI在医学领域中的应用不断深入。从医学影像识别、病理图像分析，到电子病历挖掘、临床决策支持，再到药物研发和精准治疗，人工智能正在逐渐改变传统医学科研和临床工作的方式。本次会议以“AI and Cancer”为主题，重点讨论AI如何赋能癌症研究和诊疗，对于理解医学AI的发展趋势、应用边界和伦理要求具有重要意义。</w:t>
      </w:r>
    </w:p>
    <w:p w14:paraId="3FBD894E">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ascii="Times New Roman" w:hAnsi="Times New Roman"/>
          <w:b/>
          <w:sz w:val="32"/>
          <w:szCs w:val="20"/>
        </w:rPr>
      </w:pPr>
      <w:r>
        <w:rPr>
          <w:rFonts w:ascii="Times New Roman" w:hAnsi="Times New Roman"/>
          <w:b/>
          <w:sz w:val="32"/>
          <w:szCs w:val="20"/>
        </w:rPr>
        <w:t>二、会议主要内容概述</w:t>
      </w:r>
    </w:p>
    <w:p w14:paraId="76929F5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本次会议主要围绕人工智能在癌症研究与临床应用中的关键问题展开，内容涉及AI辅助诊断、医学大数据利用、药物发现、临床工作流优化、负责任AI以及人机协作等方面。从整体内容来看，会议并不是单纯讨论某一个算法模型，而是从医学科研和临床实践的完整链条出发，探讨AI如何真正服务于医学问题。</w:t>
      </w:r>
    </w:p>
    <w:p w14:paraId="4C26D8B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首先，会议强调了人工智能在癌症诊断中的重要作用。癌症诊断通常依赖医学影像、病理切片、基因检测、临床指标等多种数据。传统诊断过程需要医生结合经验进行综合判断，但在面对大规模、高维度、多模态医学数据时，人工分析往往耗时较长，且容易受到主观经验和工作负荷影响。人工智能可以通过深度学习模型自动提取图像特征、识别异常区域、辅助判断肿瘤类型和病灶边界，从而提高诊断效率。特别是在医学影像和病理图像分析中，AI模型能够从大量样本中学习复杂模式，帮助医生发现肉眼不易察觉的细微变化。</w:t>
      </w:r>
    </w:p>
    <w:p w14:paraId="387FB08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其次，会议讨论了AI在癌症治疗和临床决策支持中的应用。癌症治疗具有高度个体化特点，不同患者的病情、基因特征、身体状况和治疗反应存在明显差异。因此，如何根据患者数据制定更加精准的治疗方案，是当前医学研究的重要方向。AI可以通过整合患者的影像数据、病理数据、电子健康记录和分子检测结果，辅助医生进行风险预测、疗效评估和治疗方案选择。例如，模型可以帮助预测患者对某种治疗方式的响应概率，也可以辅助评估疾病进展风险。这种应用体现了人工智能在精准医学中的潜力。</w:t>
      </w:r>
    </w:p>
    <w:p w14:paraId="44BCA94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再次，会议关注了医学大数据对AI发展的基础性作用。人工智能模型的性能在很大程度上依赖数据质量。对于癌症研究而言，数据来源非常丰富，包括医学影像、病理图像、基因组数据、电子病历、临床随访数据等。如何有效获取、清洗、标注、整合和利用这些数据，是医学AI研究中的重要问题。会议指出，电子健康记录和多源医学数据为AI模型训练提供了基础，但同时也带来了数据标准不统一、标注成本高、隐私保护困难和样本偏差等挑战。这说明医学AI不仅是算法问题，也是数据治理、医院信息化和科研规范问题。</w:t>
      </w:r>
    </w:p>
    <w:p w14:paraId="5404FFD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此外，会议还涉及AI在药物发现和基础医学研究中的应用。传统药物研发周期长、成本高，而人工智能可以通过分子结构建模、靶点预测、药物筛选和生物标志物发现等方式，提高药物研发效率。在癌症研究中，AI有助于发现新的分子机制，识别潜在治疗靶点，并加速候选药物筛选。与传统实验方法相比，AI能够在大规模数据中发现隐藏关联，为后续实验验证提供方向。虽然AI不能替代真实生物实验和临床试验，但它可以显著缩小搜索范围，提高科研效率。</w:t>
      </w:r>
    </w:p>
    <w:p w14:paraId="4D111F9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会议还特别强调了负责任AI的重要性。医学场景与普通应用场景不同，AI系统的输出可能直接影响患者诊疗决策。因此，医学AI必须重视模型可靠性、可解释性、公平性、安全性和伦理规范。一个模型即使在测试集上取得较高准确率，也并不意味着可以直接用于临床。模型是否适用于不同人群、不同医院、不同设备采集的数据，是否存在偏差，医生是否能够理解其判断依据，患者隐私是否得到保护，这些都是AI医学应用中必须解决的问题。会议关于负责任AI的讨论提醒我们，医学AI不能只追求技术指标，还必须关注临床可用性和社会责任。</w:t>
      </w:r>
    </w:p>
    <w:p w14:paraId="27404C84">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ascii="Times New Roman" w:hAnsi="Times New Roman"/>
          <w:b/>
          <w:sz w:val="32"/>
          <w:szCs w:val="20"/>
        </w:rPr>
      </w:pPr>
      <w:r>
        <w:rPr>
          <w:rFonts w:ascii="Times New Roman" w:hAnsi="Times New Roman"/>
          <w:b/>
          <w:sz w:val="32"/>
          <w:szCs w:val="20"/>
        </w:rPr>
        <w:t>三、会议重点内容分析</w:t>
      </w:r>
    </w:p>
    <w:p w14:paraId="78A2D6F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从本次会议内容来看，人工智能在癌症研究中的价值主要体现在三个方面：提高效率、增强能力和推动转化。</w:t>
      </w:r>
    </w:p>
    <w:p w14:paraId="6BCEBF4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第一，AI能够提高医学科研和临床诊疗效率。在医学影像分析、病理切片筛查、电子病历整理等任务中，人工处理往往需要大量时间。AI可以承担部分重复性、规则性和数据密集型工作，使医生和研究人员能够将更多精力投入到复杂判断和科研创新中。例如，AI辅助影像分析可以快速定位疑似病灶区域，减少医生初筛压力；AI辅助文献和数据分析可以帮助研究人员更快发现研究线索。</w:t>
      </w:r>
    </w:p>
    <w:p w14:paraId="6929F78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第二，AI能够增强医学分析能力。传统医学分析往往受限于人的观察能力和经验范围，而AI模型可以从高维数据中学习复杂模式。特别是多模态AI的发展，使模型能够同时处理图像、文本、基因和临床指标等多种信息，从而形成更加全面的判断。这对于癌症这类复杂疾病尤为重要，因为癌症的发生发展涉及分子、细胞、组织和个体等多个层面。AI为跨尺度、跨模态的数据整合提供了新的可能。</w:t>
      </w:r>
    </w:p>
    <w:p w14:paraId="1359CC3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第三，AI能够促进医学科研成果转化。医学AI的目标不仅是发表论文，更重要的是服务真实临床场景。本次会议强调AI在医疗系统中的实际落地，包括临床工作流优化、医生辅助决策和患者管理等。这说明AI研究需要从“模型性能”走向“系统应用”，从单一算法走向完整流程。一个优秀的医学AI系统，不仅要有准确的算法，还需要友好的交互界面、稳定的工程实现、清晰的结果解释和严格的临床验证。</w:t>
      </w:r>
    </w:p>
    <w:p w14:paraId="2D3891F6">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ascii="Times New Roman" w:hAnsi="Times New Roman"/>
          <w:b/>
          <w:sz w:val="32"/>
          <w:szCs w:val="20"/>
        </w:rPr>
      </w:pPr>
      <w:r>
        <w:rPr>
          <w:rFonts w:ascii="Times New Roman" w:hAnsi="Times New Roman"/>
          <w:b/>
          <w:sz w:val="32"/>
          <w:szCs w:val="20"/>
        </w:rPr>
        <w:t>四、与自身专业和科研方向的联系</w:t>
      </w:r>
    </w:p>
    <w:p w14:paraId="1DC5AB9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作为人工智能学院研究生，我的研究方向是行为识别，涉及深度学习、计算机视觉、模型改进和系统开发等内容。虽然行为识别与癌症研究在具体对象上不同，但二者在技术方法和研究思路上有许多相通之处。行为识别需要从视频或图像序列中提取动作特征，医学AI则需要从医学影像、病理图像或临床数据中提取疾病相关特征。二者都依赖数据质量、模型结构、特征表达和结果验证。</w:t>
      </w:r>
    </w:p>
    <w:p w14:paraId="5ADCB86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同时，我目前在医院实习，参与碎骨拼接方向的研究与开发。这一任务与医学图像处理、三维重建、点云配准和临床辅助决策密切相关。通过本次会议，我更加认识到医学AI研究不能只停留在算法实现层面，还需要考虑临床实际需求。例如，在碎骨拼接任务中，模型或算法不仅要能完成碎片匹配和拼接，还要考虑医生是否能够理解结果，系统是否便于交互，误差是否可控，输出是否能为临床决策提供可靠参考。</w:t>
      </w:r>
    </w:p>
    <w:p w14:paraId="52279E3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本次会议中关于“人机协作”的观点对我启发较大。AI并不是替代医生，而是帮助医生更高效、更准确地完成判断。在碎骨拼接方向中，也不能简单认为算法输出就是最终结果。更合理的方式是让AI提供候选拼接方案、相似度分析和可视化结果，再由医生结合医学知识进行确认。这种模式既发挥了AI的数据处理能力，也保留了医生的专业判断，符合医学AI的发展方向。</w:t>
      </w:r>
    </w:p>
    <w:p w14:paraId="3C12E09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此外，会议关于负责任AI的讨论也让我意识到，在科研和工程开发中必须保持严谨态度。医学AI涉及真实患者数据和临床应用，不能仅凭模型运行成功或结果看起来合理就认为系统可靠。未来在实习和科研中，我需要更加重视数据来源、标注质量、实验验证、误差分析和结果解释，避免把AI工具化、简单化使用。</w:t>
      </w:r>
    </w:p>
    <w:p w14:paraId="75D53148">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ascii="Times New Roman" w:hAnsi="Times New Roman"/>
          <w:b/>
          <w:sz w:val="32"/>
          <w:szCs w:val="20"/>
        </w:rPr>
      </w:pPr>
      <w:r>
        <w:rPr>
          <w:rFonts w:ascii="Times New Roman" w:hAnsi="Times New Roman"/>
          <w:b/>
          <w:sz w:val="32"/>
          <w:szCs w:val="20"/>
        </w:rPr>
        <w:t>五、个人收获与思考</w:t>
      </w:r>
    </w:p>
    <w:p w14:paraId="6BB16D8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通过对本次会议内容的学习和整理，我主要有以下几点收获。</w:t>
      </w:r>
    </w:p>
    <w:p w14:paraId="5B0EC14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首先，我进一步认识到人工智能与医学科研融合的广阔前景。癌症研究是医学领域中的重要方向，而AI可以在数据分析、辅助诊断、治疗预测、药物发现等多个环节发挥作用。这说明人工智能专业学生不仅可以从事传统算法研究，也可以面向医疗、生命科学等真实需求开展交叉研究。</w:t>
      </w:r>
    </w:p>
    <w:p w14:paraId="069452A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其次，我认识到医学AI应用必须以问题为导向。技术本身不是目的，解决临床问题才是关键。无论是癌症诊断还是碎骨拼接，首先都要明确真实场景中的痛点是什么，再选择合适的算法和系统方案。如果脱离具体应用场景，只追求模型复杂度或指标提升，可能难以产生实际价值。</w:t>
      </w:r>
    </w:p>
    <w:p w14:paraId="3E17158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再次，我认识到医学AI对可靠性要求极高。普通应用中的错误可能只是影响用户体验，但医学AI中的错误可能影响诊疗判断。因此，未来在进行相关研究时，必须更加重视模型泛化能力、可解释性、鲁棒性和安全性。同时，也要尊重医生和医学专家的意见，不能以技术视角替代临床视角。</w:t>
      </w:r>
    </w:p>
    <w:p w14:paraId="28F7141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最后，本次会议也让我思考了研究生阶段的能力提升方向。作为人工智能专业学生，我不仅要掌握深度学习、计算机视觉和大模型等技术，还要提升跨学科理解能力、工程实现能力和科研表达能力。尤其是在医学AI方向，只有理解医学问题背景，才能设计出真正有意义的AI系统。</w:t>
      </w:r>
    </w:p>
    <w:p w14:paraId="31E66300">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ascii="Times New Roman" w:hAnsi="Times New Roman"/>
          <w:b/>
          <w:sz w:val="32"/>
          <w:szCs w:val="20"/>
        </w:rPr>
      </w:pPr>
      <w:r>
        <w:rPr>
          <w:rFonts w:ascii="Times New Roman" w:hAnsi="Times New Roman"/>
          <w:b/>
          <w:sz w:val="32"/>
          <w:szCs w:val="20"/>
        </w:rPr>
        <w:t>六、总结</w:t>
      </w:r>
    </w:p>
    <w:p w14:paraId="38644AE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总体来看，本次“AI and Cancer Webinar”围绕人工智能在癌症研究与医学临床中的应用展开，内容涵盖AI辅助诊断、医学大数据、精准治疗、药物发现、临床决策支持和负责任AI等多个方面。会议体现出当前医学AI发展的重要趋势：从单一模型走向多模态融合，从算法研究走向临床落地，从追求准确率走向强调可靠性、可解释性和伦理责任。</w:t>
      </w:r>
    </w:p>
    <w:p w14:paraId="794826D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Times New Roman" w:hAnsi="Times New Roman"/>
        </w:rPr>
      </w:pPr>
      <w:r>
        <w:rPr>
          <w:rFonts w:ascii="Times New Roman" w:hAnsi="Times New Roman"/>
        </w:rPr>
        <w:t>对我而言，本次会议不仅拓宽了我对人工智能应用场景的认识，也对我当前在医院实习中参与的碎骨拼接方向具有启发意义。医学AI不是简单地将模型套用到医学数据上，而是需要结合真实临床需求，构建可靠、可解释、可验证的人机协作系统。未来，我将结合自身行为识别、计算机视觉和医学图像处理相关学习经历，进一步提升算法理解能力、工程开发能力和医学场景分析能力，努力将人工智能技术应用到更有实际价值的科研和医疗问题中。</w:t>
      </w:r>
    </w:p>
    <w:p w14:paraId="3D149D60">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imes New Roman" w:hAnsi="Times New Roman"/>
          <w:b/>
          <w:sz w:val="32"/>
          <w:szCs w:val="20"/>
          <w:lang w:val="en-US" w:eastAsia="zh-CN"/>
        </w:rPr>
      </w:pPr>
      <w:r>
        <w:rPr>
          <w:rFonts w:hint="eastAsia" w:ascii="Times New Roman" w:hAnsi="Times New Roman"/>
          <w:b/>
          <w:sz w:val="32"/>
          <w:szCs w:val="20"/>
          <w:lang w:val="en-US" w:eastAsia="zh-CN"/>
        </w:rPr>
        <w:t>证明</w:t>
      </w:r>
    </w:p>
    <w:p w14:paraId="7CDF9D77">
      <w:pPr>
        <w:jc w:val="center"/>
        <w:rPr>
          <w:rFonts w:hint="eastAsia"/>
          <w:lang w:val="en-US" w:eastAsia="zh-CN"/>
        </w:rPr>
      </w:pPr>
      <w:r>
        <w:rPr>
          <w:rFonts w:hint="eastAsia"/>
          <w:lang w:val="en-US" w:eastAsia="zh-CN"/>
        </w:rPr>
        <w:drawing>
          <wp:inline distT="0" distB="0" distL="114300" distR="114300">
            <wp:extent cx="4006215" cy="2469515"/>
            <wp:effectExtent l="0" t="0" r="1905" b="14605"/>
            <wp:docPr id="1" name="图片 1" descr="4a3a5a44d69ff085ec16721b0185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a3a5a44d69ff085ec16721b01856103"/>
                    <pic:cNvPicPr>
                      <a:picLocks noChangeAspect="1"/>
                    </pic:cNvPicPr>
                  </pic:nvPicPr>
                  <pic:blipFill>
                    <a:blip r:embed="rId4"/>
                    <a:stretch>
                      <a:fillRect/>
                    </a:stretch>
                  </pic:blipFill>
                  <pic:spPr>
                    <a:xfrm>
                      <a:off x="0" y="0"/>
                      <a:ext cx="4006215" cy="2469515"/>
                    </a:xfrm>
                    <a:prstGeom prst="rect">
                      <a:avLst/>
                    </a:prstGeom>
                  </pic:spPr>
                </pic:pic>
              </a:graphicData>
            </a:graphic>
          </wp:inline>
        </w:drawing>
      </w:r>
    </w:p>
    <w:p w14:paraId="2F8E8A8B">
      <w:pPr>
        <w:jc w:val="center"/>
        <w:rPr>
          <w:rFonts w:hint="eastAsia"/>
          <w:lang w:val="en-US" w:eastAsia="zh-CN"/>
        </w:rPr>
      </w:pPr>
      <w:r>
        <w:rPr>
          <w:rFonts w:hint="eastAsia"/>
          <w:lang w:val="en-US" w:eastAsia="zh-CN"/>
        </w:rPr>
        <w:drawing>
          <wp:inline distT="0" distB="0" distL="114300" distR="114300">
            <wp:extent cx="3694430" cy="1753235"/>
            <wp:effectExtent l="0" t="0" r="8890" b="14605"/>
            <wp:docPr id="3" name="图片 3" descr="93a7670225fcdceb3ebb647cb39c4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3a7670225fcdceb3ebb647cb39c4dfc"/>
                    <pic:cNvPicPr>
                      <a:picLocks noChangeAspect="1"/>
                    </pic:cNvPicPr>
                  </pic:nvPicPr>
                  <pic:blipFill>
                    <a:blip r:embed="rId5"/>
                    <a:stretch>
                      <a:fillRect/>
                    </a:stretch>
                  </pic:blipFill>
                  <pic:spPr>
                    <a:xfrm>
                      <a:off x="0" y="0"/>
                      <a:ext cx="3694430" cy="1753235"/>
                    </a:xfrm>
                    <a:prstGeom prst="rect">
                      <a:avLst/>
                    </a:prstGeom>
                  </pic:spPr>
                </pic:pic>
              </a:graphicData>
            </a:graphic>
          </wp:inline>
        </w:drawing>
      </w:r>
    </w:p>
    <w:p w14:paraId="4D9797A2">
      <w:pPr>
        <w:jc w:val="center"/>
        <w:rPr>
          <w:rFonts w:hint="eastAsia"/>
          <w:lang w:val="en-US" w:eastAsia="zh-CN"/>
        </w:rPr>
      </w:pPr>
      <w:r>
        <w:rPr>
          <w:rFonts w:hint="eastAsia"/>
          <w:lang w:val="en-US" w:eastAsia="zh-CN"/>
        </w:rPr>
        <w:drawing>
          <wp:inline distT="0" distB="0" distL="114300" distR="114300">
            <wp:extent cx="2788920" cy="6152515"/>
            <wp:effectExtent l="0" t="0" r="0" b="4445"/>
            <wp:docPr id="2" name="图片 2" descr="27df633b61f99d911305190f5644d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7df633b61f99d911305190f5644d474"/>
                    <pic:cNvPicPr>
                      <a:picLocks noChangeAspect="1"/>
                    </pic:cNvPicPr>
                  </pic:nvPicPr>
                  <pic:blipFill>
                    <a:blip r:embed="rId6"/>
                    <a:stretch>
                      <a:fillRect/>
                    </a:stretch>
                  </pic:blipFill>
                  <pic:spPr>
                    <a:xfrm>
                      <a:off x="0" y="0"/>
                      <a:ext cx="2788920" cy="6152515"/>
                    </a:xfrm>
                    <a:prstGeom prst="rect">
                      <a:avLst/>
                    </a:prstGeom>
                  </pic:spPr>
                </pic:pic>
              </a:graphicData>
            </a:graphic>
          </wp:inline>
        </w:drawing>
      </w:r>
      <w:bookmarkStart w:id="0" w:name="_GoBack"/>
      <w:bookmarkEnd w:id="0"/>
    </w:p>
    <w:p w14:paraId="31A1D682">
      <w:pPr>
        <w:rPr>
          <w:rFonts w:hint="eastAsia"/>
          <w:lang w:val="en-US" w:eastAsia="zh-CN"/>
        </w:rPr>
      </w:pPr>
    </w:p>
    <w:p w14:paraId="271205E4">
      <w:pPr>
        <w:rPr>
          <w:rFonts w:hint="eastAsia" w:ascii="Times New Roman" w:hAnsi="Times New Roman"/>
          <w:lang w:val="en-US" w:eastAsia="zh-CN"/>
        </w:rPr>
      </w:pPr>
    </w:p>
    <w:p w14:paraId="1ADCB447">
      <w:pPr>
        <w:pStyle w:val="4"/>
        <w:keepNext w:val="0"/>
        <w:keepLines w:val="0"/>
        <w:widowControl/>
        <w:suppressLineNumbers w:val="0"/>
        <w:rPr>
          <w:rFonts w:hint="eastAsia" w:ascii="Times New Roman" w:hAnsi="Times New Roman"/>
          <w:lang w:val="en-US" w:eastAsia="zh-CN"/>
        </w:rPr>
      </w:pPr>
    </w:p>
    <w:p w14:paraId="5BBD1621">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804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2026-05-05T12:57:33Z</dcterms:created>
  <dc:creator>User</dc:creator>
  <cp:lastModifiedBy>胤胤</cp:lastModifiedBy>
  <dcterms:modified xsi:type="dcterms:W3CDTF">2026-05-05T13:01:39Z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eyJoZGlkIjoiODQ0YmNlZWQwMGU2MGZkN2E0ZWUwMGYyMDBiZTg2YzMiLCJ1c2VySWQiOiIxNzczNjUyNTgyIn0=</vt:lpwstr>
  </property>
  <property fmtid="{D5CDD505-2E9C-101B-9397-08002B2CF9AE}" pid="4" name="ICV">
    <vt:lpwstr>9C87FA4AF08B41718EF026909855934C_12</vt:lpwstr>
  </property>
</Properties>
</file>