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我的 Vibe Coding 步骤详解</w:t>
      </w:r>
    </w:p>
    <w:p>
      <w:pPr>
        <w:ind w:left="850" w:right="850"/>
      </w:pPr>
      <w:r>
        <w:rPr>
          <w:rFonts w:ascii="楷体" w:hAnsi="楷体"/>
          <w:b w:val="0"/>
          <w:i w:val="0"/>
          <w:color w:val="3C3C3C"/>
          <w:sz w:val="22"/>
        </w:rPr>
        <w:t>撰写于 2026 年 5 月，基于日常科研工作中与 AI 协作的实践经验总结。</w:t>
      </w:r>
    </w:p>
    <w:p/>
    <w:p>
      <w:pPr>
        <w:pStyle w:val="Heading2"/>
      </w:pPr>
      <w:r>
        <w:t>一、Vibe Coding 的定义与辨析</w:t>
      </w:r>
    </w:p>
    <w:p>
      <w:pPr>
        <w:pStyle w:val="Heading3"/>
      </w:pPr>
      <w:r>
        <w:t>1.1 核心定义</w:t>
      </w:r>
    </w:p>
    <w:p>
      <w:r>
        <w:rPr>
          <w:rFonts w:ascii="宋体" w:hAnsi="宋体"/>
          <w:sz w:val="24"/>
        </w:rPr>
        <w:t>Vibe Coding 是一种以自然语言为交互界面、以 AI 为全权执行者、以使用者感知体验为唯一验收标准的开发范式。使用者仅负责描述愿景与判断输出质量，不介入任何技术实现环节。</w:t>
      </w:r>
    </w:p>
    <w:p>
      <w:pPr>
        <w:pStyle w:val="Heading3"/>
      </w:pPr>
      <w:r>
        <w:t>1.2 与传统编程的路径对比</w:t>
      </w:r>
    </w:p>
    <w:p>
      <w:r>
        <w:rPr>
          <w:rFonts w:ascii="宋体" w:hAnsi="宋体"/>
          <w:sz w:val="24"/>
        </w:rPr>
        <w:t>传统编程的完整链路为：需求分析 → 技术选型 → 架构设计 → 手工编码 → 调试排错 → 测试验证 → 部署交付 → 长期维护。该链路的核心特征是人在回路中承担全部技术决策与执行责任，工具（IDE、编译器、调试器、搜索引擎）仅提供辅助。Vibe Coding 的链路则为：需求阐述 → AI 自主执行全部技术环节 → 使用者验收交付物。该链路的核心特征是人被移出技术执行回路，仅保留需求定义权与结果裁决权。二者并非熟练度差异，而是范式层面的结构性差异——前者以"人理解并控制代码"为预设，后者以"人不需要理解代码"为预设。</w:t>
      </w:r>
    </w:p>
    <w:p>
      <w:pPr>
        <w:pStyle w:val="Heading3"/>
      </w:pPr>
      <w:r>
        <w:t>1.3 与相关概念的区分</w:t>
      </w:r>
    </w:p>
    <w:p>
      <w:r>
        <w:rPr>
          <w:rFonts w:ascii="宋体" w:hAnsi="宋体"/>
          <w:sz w:val="24"/>
        </w:rPr>
        <w:t>Vibe Coding 不等同于低代码/无代码平台——后者通过可视化组件抽象降低编码量，但仍要求使用者理解数据流、组件逻辑、状态管理等技术概念，Vibe Coding 则连这类技术概念也一并外包。Vibe Coding 也不等同于 AI 辅助编程（Copilot 模式）——该模式下 AI 作为编码助手提供行级/函数级补全建议，程序员仍主导整体架构与逻辑决策，而 Vibe Coding 中 AI 是主开发者，使用者是需求方与验收方。它同样区别于提示工程（Prompt Engineering）——提示工程关注如何通过结构化提示词优化 AI 输出质量，隐含了对技术边界的理解与调试，而 Vibe Coding 不要求使用者掌握任何提示词技巧，自然语言如何表达、AI 如何理解，二者之间不需要中间层。</w:t>
      </w:r>
    </w:p>
    <w:p>
      <w:pPr>
        <w:pStyle w:val="Heading3"/>
      </w:pPr>
      <w:r>
        <w:t>1.4 适用边界</w:t>
      </w:r>
    </w:p>
    <w:p>
      <w:r>
        <w:rPr>
          <w:rFonts w:ascii="宋体" w:hAnsi="宋体"/>
          <w:sz w:val="24"/>
        </w:rPr>
        <w:t>Vibe Coding 尤其适用于科研数据处理与可视化、学术文档的结构化整理与格式化输出、原型验证与快速实验对比，以及非技术背景人员的一次性编程需求。其当前局限主要在于：对极高运行时性能要求的场景（需精细的底层优化）、对代码有合规性审计要求的工业环境，以及需要与遗留系统深度集成的复杂工程。</w:t>
      </w:r>
    </w:p>
    <w:p/>
    <w:p>
      <w:pPr>
        <w:pStyle w:val="Heading2"/>
      </w:pPr>
      <w:r>
        <w:t>二、三项基本原则</w:t>
      </w:r>
    </w:p>
    <w:p>
      <w:r>
        <w:rPr>
          <w:rFonts w:ascii="宋体" w:hAnsi="宋体"/>
          <w:sz w:val="24"/>
        </w:rPr>
        <w:t>以下三项原则是整个工作流的底层逻辑，自始至终未发生变化。</w:t>
      </w:r>
    </w:p>
    <w:p>
      <w:pPr>
        <w:pStyle w:val="Heading3"/>
      </w:pPr>
      <w:r>
        <w:t>原则一：不编写代码，仅提出需求</w:t>
      </w:r>
    </w:p>
    <w:p>
      <w:r>
        <w:rPr>
          <w:rFonts w:ascii="宋体" w:hAnsi="宋体"/>
          <w:sz w:val="24"/>
        </w:rPr>
        <w:t>无论任务规模——从十余行的数据统计脚本，到涵盖多种机器学习模型的电池剩余寿命拐点预测对比框架——均不手动编写或修改任何一行代码。使用者仅以自然语言描述"想要什么"，AI 负责将这一描述转化为可执行的完整代码工程。实际覆盖的任务类型包括数据提取与清洗（从原始 Excel/CSV 中批量化提取指定列、处理缺失值、对齐时间序列）、模型搭建与调参（构建分类/回归模型、执行交叉验证、超参数网格搜索）、可视化输出（生成满足特定期刊规范的统计图表、多图组合排版）以及文档生成（结构化 Markdown 笔记整理、LaTeX 表格生成、组会 PPT 配图输出）。此原则隐含一个前提：使用者信任 AI 的技术判断力，且愿意为此承担"对实现过程一无所知"的风险。实践表明，对于上述任务类型，这一风险完全可控。</w:t>
      </w:r>
    </w:p>
    <w:p>
      <w:pPr>
        <w:pStyle w:val="Heading3"/>
      </w:pPr>
      <w:r>
        <w:t>原则二：不关注技术实现细节</w:t>
      </w:r>
    </w:p>
    <w:p>
      <w:r>
        <w:rPr>
          <w:rFonts w:ascii="宋体" w:hAnsi="宋体"/>
          <w:sz w:val="24"/>
        </w:rPr>
        <w:t>对 AI 所选用的编程语言、第三方库、算法架构、数据结构、代码风格等一切技术实现细节保持有意的"不知情"状态。以 BatteryGPT 项目为例，该项目包含数十个 Python 源文件，覆盖数据加载、特征工程、模型定义、训练循环、评估指标计算、结果可视化等完整管线，从启动到交付，未逐行审查任何代码，也未询问 AI"用了什么框架""为什么选择该算法""数据管线是如何组织的"等问题。唯一被关注的输出维度只有两个：结果正确性（模型预测值与真实值的偏差是否在合理范围内）和结果可用性（输出图表能否直接用于论文或汇报）。需要特别说明的是，"不关注技术细节"不等于"对领域逻辑不把关"——使用者仍会验证拐点检测算法判定的拐点位置是否与电池容量衰减的物理规律一致，模型在 NCA 体系上的泛化性能是否合理。把关的是领域知识层面的合理性，而非代码层面的准确性。</w:t>
      </w:r>
    </w:p>
    <w:p>
      <w:pPr>
        <w:pStyle w:val="Heading3"/>
      </w:pPr>
      <w:r>
        <w:t>原则三：持续反馈，直至满意</w:t>
      </w:r>
    </w:p>
    <w:p>
      <w:r>
        <w:rPr>
          <w:rFonts w:ascii="宋体" w:hAnsi="宋体"/>
          <w:sz w:val="24"/>
        </w:rPr>
        <w:t>不接受"功能可用但视觉效果欠佳"的中间态。对于每一次 AI 交付的输出，以最高的感知标准进行审视，发现问题即通过自然语言提出修改要求，反复迭代直至满足全部预期。以 Knee-point 项目中拐点预测可视化图表的典型迭代历程为例——第一轮完成基础功能实现（数据正确加载并绘制容量衰减曲线），第二轮进行配色调整（默认 matplotlib 色板更换为学术风格暖色系），第三轮进行标注精细调整（拐点位置用竖虚线标注，添加循环数标签），第四轮统一字体（坐标轴标签、图例、标题改为 Times New Roman，字号逐级设定），第五轮优化布局（图例从绘图区内移至图外，避免遮挡数据），第六轮调整网格线与边框（添加浅色虚线网格，去除顶部和右侧边框线），第七轮设定导出参数（DPI 设为 300，格式 PNG，边距调整），第八轮进行整体审视（多图对比下的视觉一致性检查，统一各子图字体、色板、标注风格）。以上八轮修改，使用者在每一轮中的输入均不超过一条自然语言指令，不包含任何代码片段、参数数值或技术术语。修改全程为"描述感知 → AI 执行 → 再次审视"的闭环，而非"定位问题 → 提出方案 → 手动修改"的传统模式。</w:t>
      </w:r>
    </w:p>
    <w:p/>
    <w:p>
      <w:pPr>
        <w:pStyle w:val="Heading2"/>
      </w:pPr>
      <w:r>
        <w:t>三、标准化五步工作流程</w:t>
      </w:r>
    </w:p>
    <w:p>
      <w:r>
        <w:rPr>
          <w:rFonts w:ascii="宋体" w:hAnsi="宋体"/>
          <w:sz w:val="24"/>
        </w:rPr>
        <w:t>下述流程在每一项科研任务的实践中逐步迭代沉淀而成，遵循"使用者投入最小化、AI 承担最大化"的原则，无论新建项目还是修改已有代码，均严格按此执行。</w:t>
      </w:r>
    </w:p>
    <w:p>
      <w:pPr>
        <w:pStyle w:val="Heading3"/>
      </w:pPr>
      <w:r>
        <w:t>第一步：以自然语言描述需求</w:t>
      </w:r>
    </w:p>
    <w:p>
      <w:r>
        <w:rPr>
          <w:rFonts w:ascii="宋体" w:hAnsi="宋体"/>
          <w:sz w:val="24"/>
        </w:rPr>
        <w:t>预期耗时约 30 秒至 2 分钟——需求越具体耗时越短，需求越开放初次描述越简略。操作上，以日常对话的方式陈述想达成的目标，不进行任何形式的事前准备或技术规划。描述内容聚焦于"要什么"，完全回避"怎么做"。使用者无需撰写需求文档或功能清单，无需绘制架构图、流程图或线框图，无需预先调查可用的技术方案、库或框架，无需考虑实现可行性或潜在技术难点，也无需将需求分解为子任务或里程碑。</w:t>
      </w:r>
    </w:p>
    <w:p>
      <w:r>
        <w:rPr>
          <w:rFonts w:ascii="宋体" w:hAnsi="宋体"/>
          <w:sz w:val="24"/>
        </w:rPr>
        <w:t>以下是实际使用中的需求描述案例：</w:t>
      </w:r>
    </w:p>
    <w:tbl>
      <w:tblPr>
        <w:tblStyle w:val="LightGrid-Accent1"/>
        <w:tblW w:type="auto" w:w="0"/>
        <w:tblLayout w:type="autofit"/>
        <w:tblLook w:firstColumn="1" w:firstRow="1" w:lastColumn="0" w:lastRow="0" w:noHBand="0" w:noVBand="1" w:val="04A0"/>
      </w:tblPr>
      <w:tblGrid>
        <w:gridCol w:w="4317"/>
        <w:gridCol w:w="4317"/>
      </w:tblGrid>
      <w:tr>
        <w:tc>
          <w:tcPr>
            <w:tcW w:type="dxa" w:w="4317"/>
          </w:tcPr>
          <w:p>
            <w:pPr>
              <w:spacing w:after="40" w:before="40"/>
            </w:pPr>
            <w:r/>
            <w:r>
              <w:rPr>
                <w:rFonts w:ascii="宋体" w:hAnsi="宋体"/>
                <w:b/>
                <w:sz w:val="20"/>
              </w:rPr>
              <w:t>任务场景</w:t>
            </w:r>
          </w:p>
        </w:tc>
        <w:tc>
          <w:tcPr>
            <w:tcW w:type="dxa" w:w="4317"/>
          </w:tcPr>
          <w:p>
            <w:pPr>
              <w:spacing w:after="40" w:before="40"/>
            </w:pPr>
            <w:r/>
            <w:r>
              <w:rPr>
                <w:rFonts w:ascii="宋体" w:hAnsi="宋体"/>
                <w:b/>
                <w:sz w:val="20"/>
              </w:rPr>
              <w:t>实际表述</w:t>
            </w:r>
          </w:p>
        </w:tc>
      </w:tr>
      <w:tr>
        <w:tc>
          <w:tcPr>
            <w:tcW w:type="dxa" w:w="4317"/>
          </w:tcPr>
          <w:p>
            <w:pPr>
              <w:spacing w:after="40" w:before="40"/>
            </w:pPr>
            <w:r/>
            <w:r>
              <w:rPr>
                <w:rFonts w:ascii="宋体" w:hAnsi="宋体"/>
                <w:sz w:val="20"/>
              </w:rPr>
              <w:t>启动电池数据分析项目</w:t>
            </w:r>
          </w:p>
        </w:tc>
        <w:tc>
          <w:tcPr>
            <w:tcW w:type="dxa" w:w="4317"/>
          </w:tcPr>
          <w:p>
            <w:pPr>
              <w:spacing w:after="40" w:before="40"/>
            </w:pPr>
            <w:r/>
            <w:r>
              <w:rPr>
                <w:rFonts w:ascii="宋体" w:hAnsi="宋体"/>
                <w:sz w:val="20"/>
              </w:rPr>
              <w:t>"提取 CALCE 数据集中电池的循环数据，绘制容量衰减曲线"</w:t>
            </w:r>
          </w:p>
        </w:tc>
      </w:tr>
      <w:tr>
        <w:tc>
          <w:tcPr>
            <w:tcW w:type="dxa" w:w="4317"/>
          </w:tcPr>
          <w:p>
            <w:pPr>
              <w:spacing w:after="40" w:before="40"/>
            </w:pPr>
            <w:r/>
            <w:r>
              <w:rPr>
                <w:rFonts w:ascii="宋体" w:hAnsi="宋体"/>
                <w:sz w:val="20"/>
              </w:rPr>
              <w:t>搭建模型对比框架</w:t>
            </w:r>
          </w:p>
        </w:tc>
        <w:tc>
          <w:tcPr>
            <w:tcW w:type="dxa" w:w="4317"/>
          </w:tcPr>
          <w:p>
            <w:pPr>
              <w:spacing w:after="40" w:before="40"/>
            </w:pPr>
            <w:r/>
            <w:r>
              <w:rPr>
                <w:rFonts w:ascii="宋体" w:hAnsi="宋体"/>
                <w:sz w:val="20"/>
              </w:rPr>
              <w:t>"构建一个拐点预测模型对比框架，纳入 SVM、随机森林、XGBoost、LSTM，输出 RMSE 和 MAE 对比结果"</w:t>
            </w:r>
          </w:p>
        </w:tc>
      </w:tr>
      <w:tr>
        <w:tc>
          <w:tcPr>
            <w:tcW w:type="dxa" w:w="4317"/>
          </w:tcPr>
          <w:p>
            <w:pPr>
              <w:spacing w:after="40" w:before="40"/>
            </w:pPr>
            <w:r/>
            <w:r>
              <w:rPr>
                <w:rFonts w:ascii="宋体" w:hAnsi="宋体"/>
                <w:sz w:val="20"/>
              </w:rPr>
              <w:t>论文配图优化</w:t>
            </w:r>
          </w:p>
        </w:tc>
        <w:tc>
          <w:tcPr>
            <w:tcW w:type="dxa" w:w="4317"/>
          </w:tcPr>
          <w:p>
            <w:pPr>
              <w:spacing w:after="40" w:before="40"/>
            </w:pPr>
            <w:r/>
            <w:r>
              <w:rPr>
                <w:rFonts w:ascii="宋体" w:hAnsi="宋体"/>
                <w:sz w:val="20"/>
              </w:rPr>
              <w:t>"将本图优化至期刊发表水平，配色方案更加协调，字体统一"</w:t>
            </w:r>
          </w:p>
        </w:tc>
      </w:tr>
      <w:tr>
        <w:tc>
          <w:tcPr>
            <w:tcW w:type="dxa" w:w="4317"/>
          </w:tcPr>
          <w:p>
            <w:pPr>
              <w:spacing w:after="40" w:before="40"/>
            </w:pPr>
            <w:r/>
            <w:r>
              <w:rPr>
                <w:rFonts w:ascii="宋体" w:hAnsi="宋体"/>
                <w:sz w:val="20"/>
              </w:rPr>
              <w:t>自动化数据处理</w:t>
            </w:r>
          </w:p>
        </w:tc>
        <w:tc>
          <w:tcPr>
            <w:tcW w:type="dxa" w:w="4317"/>
          </w:tcPr>
          <w:p>
            <w:pPr>
              <w:spacing w:after="40" w:before="40"/>
            </w:pPr>
            <w:r/>
            <w:r>
              <w:rPr>
                <w:rFonts w:ascii="宋体" w:hAnsi="宋体"/>
                <w:sz w:val="20"/>
              </w:rPr>
              <w:t>"编写脚本，自动读取 MIT 数据集中所有 Excel 文件，按循环次数对齐，计算每个循环的容量保持率"</w:t>
            </w:r>
          </w:p>
        </w:tc>
      </w:tr>
      <w:tr>
        <w:tc>
          <w:tcPr>
            <w:tcW w:type="dxa" w:w="4317"/>
          </w:tcPr>
          <w:p>
            <w:pPr>
              <w:spacing w:after="40" w:before="40"/>
            </w:pPr>
            <w:r/>
            <w:r>
              <w:rPr>
                <w:rFonts w:ascii="宋体" w:hAnsi="宋体"/>
                <w:sz w:val="20"/>
              </w:rPr>
              <w:t>文档结构化整理</w:t>
            </w:r>
          </w:p>
        </w:tc>
        <w:tc>
          <w:tcPr>
            <w:tcW w:type="dxa" w:w="4317"/>
          </w:tcPr>
          <w:p>
            <w:pPr>
              <w:spacing w:after="40" w:before="40"/>
            </w:pPr>
            <w:r/>
            <w:r>
              <w:rPr>
                <w:rFonts w:ascii="宋体" w:hAnsi="宋体"/>
                <w:sz w:val="20"/>
              </w:rPr>
              <w:t>"将本篇论文笔记整理为结构清晰的 Markdown 格式，理顺逻辑层次"</w:t>
            </w:r>
          </w:p>
        </w:tc>
      </w:tr>
      <w:tr>
        <w:tc>
          <w:tcPr>
            <w:tcW w:type="dxa" w:w="4317"/>
          </w:tcPr>
          <w:p>
            <w:pPr>
              <w:spacing w:after="40" w:before="40"/>
            </w:pPr>
            <w:r/>
            <w:r>
              <w:rPr>
                <w:rFonts w:ascii="宋体" w:hAnsi="宋体"/>
                <w:sz w:val="20"/>
              </w:rPr>
              <w:t>跨数据集迁移实验</w:t>
            </w:r>
          </w:p>
        </w:tc>
        <w:tc>
          <w:tcPr>
            <w:tcW w:type="dxa" w:w="4317"/>
          </w:tcPr>
          <w:p>
            <w:pPr>
              <w:spacing w:after="40" w:before="40"/>
            </w:pPr>
            <w:r/>
            <w:r>
              <w:rPr>
                <w:rFonts w:ascii="宋体" w:hAnsi="宋体"/>
                <w:sz w:val="20"/>
              </w:rPr>
              <w:t>"把刚才在 CALCE 上跑的拐点预测流程，直接搬到 XJTU 数据集上复现一遍，结果格式保持一致"</w:t>
            </w:r>
          </w:p>
        </w:tc>
      </w:tr>
      <w:tr>
        <w:tc>
          <w:tcPr>
            <w:tcW w:type="dxa" w:w="4317"/>
          </w:tcPr>
          <w:p>
            <w:pPr>
              <w:spacing w:after="40" w:before="40"/>
            </w:pPr>
            <w:r/>
            <w:r>
              <w:rPr>
                <w:rFonts w:ascii="宋体" w:hAnsi="宋体"/>
                <w:sz w:val="20"/>
              </w:rPr>
              <w:t>异常排查</w:t>
            </w:r>
          </w:p>
        </w:tc>
        <w:tc>
          <w:tcPr>
            <w:tcW w:type="dxa" w:w="4317"/>
          </w:tcPr>
          <w:p>
            <w:pPr>
              <w:spacing w:after="40" w:before="40"/>
            </w:pPr>
            <w:r/>
            <w:r>
              <w:rPr>
                <w:rFonts w:ascii="宋体" w:hAnsi="宋体"/>
                <w:sz w:val="20"/>
              </w:rPr>
              <w:t>"这段代码为什么运行报错，直接帮我修好"</w:t>
            </w:r>
          </w:p>
        </w:tc>
      </w:tr>
      <w:tr>
        <w:tc>
          <w:tcPr>
            <w:tcW w:type="dxa" w:w="4317"/>
          </w:tcPr>
          <w:p>
            <w:pPr>
              <w:spacing w:after="40" w:before="40"/>
            </w:pPr>
            <w:r/>
            <w:r>
              <w:rPr>
                <w:rFonts w:ascii="宋体" w:hAnsi="宋体"/>
                <w:sz w:val="20"/>
              </w:rPr>
              <w:t>格式转换</w:t>
            </w:r>
          </w:p>
        </w:tc>
        <w:tc>
          <w:tcPr>
            <w:tcW w:type="dxa" w:w="4317"/>
          </w:tcPr>
          <w:p>
            <w:pPr>
              <w:spacing w:after="40" w:before="40"/>
            </w:pPr>
            <w:r/>
            <w:r>
              <w:rPr>
                <w:rFonts w:ascii="宋体" w:hAnsi="宋体"/>
                <w:sz w:val="20"/>
              </w:rPr>
              <w:t>"把这三张单独的图拼成一张横向排列的组合图，加统一的 A/B/C 子图标签"</w:t>
            </w:r>
          </w:p>
        </w:tc>
      </w:tr>
    </w:tbl>
    <w:p/>
    <w:p>
      <w:r>
        <w:rPr>
          <w:rFonts w:ascii="宋体" w:hAnsi="宋体"/>
          <w:sz w:val="24"/>
        </w:rPr>
        <w:t>以上案例表明，需求的清晰度可以在很大范围内波动——从"画容量衰减曲线"（相对明确）到"期刊级别好看一点"（高度主观）——AI 均能启动有效执行。这降低了需求表述的心理门槛：无需等到"想清楚所有细节"再开口，可以先给出大致方向，在后续迭代中逐步收敛。此步骤的本质是描述目标状态（期望产出是什么样），而非实现路径（怎样达到期望产出）。描述允许粗糙、允许模糊、允许使用感知性词汇（"协调""整洁""一目了然""有质感"），AI 负责在模糊空间中定位最可能的意图并生成对应实现。</w:t>
      </w:r>
    </w:p>
    <w:p>
      <w:pPr>
        <w:pStyle w:val="Heading3"/>
      </w:pPr>
      <w:r>
        <w:t>第二步：AI 自主完成全部编码工作</w:t>
      </w:r>
    </w:p>
    <w:p>
      <w:r>
        <w:rPr>
          <w:rFonts w:ascii="宋体" w:hAnsi="宋体"/>
          <w:sz w:val="24"/>
        </w:rPr>
        <w:t>使用者在该步骤中处于完全静默状态——不提供输入、不做出选择、不进行确认。AI 自主完成从需求理解到成品交付的全链路，独立执行的决策与操作包括：将自然语言描述映射为可执行的技术任务集合，判断任务属于新建项目还是已有项目的修改，评估所需工作量与复杂度；根据任务特征自行决定所用工具链（例如结构化数据处理通常选择 Python + pandas，机器学习建模选择 scikit-learn 或 PyTorch，可视化选择 matplotlib 或 seaborn，文档编写选择 Markdown，交互式分析可能使用 Jupyter Notebook）；对于新建任务自主创建目录结构、划分源文件、组织模块依赖关系；一次性完成所有源代码的编写，覆盖数据加载、预处理、核心逻辑、结果输出、可视化等全部环节，不采用"先搭骨架再逐步填充"的分阶段交付方式，而是直接交付完整可运行的成品；在将代码交付使用者之前自主运行、检查是否存在语法错误或运行时异常，发现问题即自行修正，直至代码可正常执行；如项目需要安装额外的第三方库，在交付时明确列出并提供安装指令。使用者在此步骤中不打开终端或命令行，不编写也不粘贴任何代码，不手动安装任何依赖（按 AI 提示操作除外），不查看代码文件内容，也不关心文件数量、代码行数或项目结构。此步骤的效率来源在于，AI 在数秒至数十秒内完成上述全部操作，而同等工作量的传统手工编码通常需要数小时，时间压缩比可达两个数量级以上。</w:t>
      </w:r>
    </w:p>
    <w:p>
      <w:pPr>
        <w:pStyle w:val="Heading3"/>
      </w:pPr>
      <w:r>
        <w:t>第三步：基于效果进行验收，不审查代码</w:t>
      </w:r>
    </w:p>
    <w:p>
      <w:r>
        <w:rPr>
          <w:rFonts w:ascii="宋体" w:hAnsi="宋体"/>
          <w:sz w:val="24"/>
        </w:rPr>
        <w:t>代码交付后，验收环节的聚焦点严格限定于输出的可感知质量，而非代码的内在质量。验收围绕三个方面展开。其一为运行状态验收——代码能否正常执行，是否存在报错或警告，预期输出文件（数据表、图表、文档等）是否生成，路径是否正确。此项通常由 AI 在交付前自行验证，使用者仅需确认结果。其二为视觉效果验收——对于可视化输出，考量配色是否协调、布局是否合理、字体尺寸与样式是否恰当、图例位置是否合适、标注是否清晰、整体视觉风格是否符合使用场景（学术论文、组会 PPT、网页展示等）。其三为领域正确性验收——输出数据是否符合领域常识，数值是否在合理区间，逻辑链条是否正确，结论是否与已有认知一致或可被合理解释。这是唯一需要使用者运用领域专业知识的环节。</w:t>
      </w:r>
    </w:p>
    <w:p>
      <w:r>
        <w:rPr>
          <w:rFonts w:ascii="宋体" w:hAnsi="宋体"/>
          <w:sz w:val="24"/>
        </w:rPr>
        <w:t>有意省略的验收维度包括：代码逻辑结构与设计模式、变量命名规范与注释完整度、时间复杂度与空间复杂度、异常处理的完备性、边界条件的覆盖程度，以及代码的可维护性、可测试性、可扩展性。省略的理由在于，上述维度在传统软件工程语境中极为重要，其目的是降低未来修改代码的认知成本与出错风险。但在 Vibe Coding 模式下，"未来修改"同样通过自然语言指令驱动 AI 完成，不需要使用者先行理解代码，因此这些维度的边际收益趋近于零。以 Knee-point 项目为例，AI 生成模型对比脚本（约 200 余行），验收过程为：检查输出 CSV 中四种模型的 RMSE/MAE 数值是否处于合理范围，检查对比柱状图的视觉效果是否达到论文插图标准，确认无误后直接采用。全过程未阅读源代码，也不知晓该脚本的内部结构。</w:t>
      </w:r>
    </w:p>
    <w:p>
      <w:pPr>
        <w:pStyle w:val="Heading3"/>
      </w:pPr>
      <w:r>
        <w:t>第四步：以自然语言进行迭代修改</w:t>
      </w:r>
    </w:p>
    <w:p>
      <w:r>
        <w:rPr>
          <w:rFonts w:ascii="宋体" w:hAnsi="宋体"/>
          <w:sz w:val="24"/>
        </w:rPr>
        <w:t>验收环节若发现任何不满意之处，启动修改。修改过程遵循与初始开发相同的范式：使用者描述问题或期望，AI 全权执行修改。在传统开发中，一个"调整图表配色"的需求变更可能包含定位相关代码段、理解当前配色设置逻辑、查阅色板文档、选择合适的替代色板、修改代码、运行验证、如效果不佳则重新选择并重复等一系列步骤。在 Vibe Coding 中，这一完整链条被压缩为一句"配色换一个更协调的学术风格色板"。</w:t>
      </w:r>
    </w:p>
    <w:p>
      <w:r>
        <w:rPr>
          <w:rFonts w:ascii="宋体" w:hAnsi="宋体"/>
          <w:sz w:val="24"/>
        </w:rPr>
        <w:t>典型修改指令及其使用场景如下：</w:t>
      </w:r>
    </w:p>
    <w:tbl>
      <w:tblPr>
        <w:tblStyle w:val="LightGrid-Accent1"/>
        <w:tblW w:type="auto" w:w="0"/>
        <w:tblLayout w:type="autofit"/>
        <w:tblLook w:firstColumn="1" w:firstRow="1" w:lastColumn="0" w:lastRow="0" w:noHBand="0" w:noVBand="1" w:val="04A0"/>
      </w:tblPr>
      <w:tblGrid>
        <w:gridCol w:w="2878"/>
        <w:gridCol w:w="2878"/>
        <w:gridCol w:w="2878"/>
      </w:tblGrid>
      <w:tr>
        <w:tc>
          <w:tcPr>
            <w:tcW w:type="dxa" w:w="2878"/>
          </w:tcPr>
          <w:p>
            <w:pPr>
              <w:spacing w:after="40" w:before="40"/>
            </w:pPr>
            <w:r/>
            <w:r>
              <w:rPr>
                <w:rFonts w:ascii="宋体" w:hAnsi="宋体"/>
                <w:b/>
                <w:sz w:val="20"/>
              </w:rPr>
              <w:t>修改类型</w:t>
            </w:r>
          </w:p>
        </w:tc>
        <w:tc>
          <w:tcPr>
            <w:tcW w:type="dxa" w:w="2878"/>
          </w:tcPr>
          <w:p>
            <w:pPr>
              <w:spacing w:after="40" w:before="40"/>
            </w:pPr>
            <w:r/>
            <w:r>
              <w:rPr>
                <w:rFonts w:ascii="宋体" w:hAnsi="宋体"/>
                <w:b/>
                <w:sz w:val="20"/>
              </w:rPr>
              <w:t>实际表述示例</w:t>
            </w:r>
          </w:p>
        </w:tc>
        <w:tc>
          <w:tcPr>
            <w:tcW w:type="dxa" w:w="2878"/>
          </w:tcPr>
          <w:p>
            <w:pPr>
              <w:spacing w:after="40" w:before="40"/>
            </w:pPr>
            <w:r/>
            <w:r>
              <w:rPr>
                <w:rFonts w:ascii="宋体" w:hAnsi="宋体"/>
                <w:b/>
                <w:sz w:val="20"/>
              </w:rPr>
              <w:t>适用项目类型</w:t>
            </w:r>
          </w:p>
        </w:tc>
      </w:tr>
      <w:tr>
        <w:tc>
          <w:tcPr>
            <w:tcW w:type="dxa" w:w="2878"/>
          </w:tcPr>
          <w:p>
            <w:pPr>
              <w:spacing w:after="40" w:before="40"/>
            </w:pPr>
            <w:r/>
            <w:r>
              <w:rPr>
                <w:rFonts w:ascii="宋体" w:hAnsi="宋体"/>
                <w:sz w:val="20"/>
              </w:rPr>
              <w:t>视觉/配色调整</w:t>
            </w:r>
          </w:p>
        </w:tc>
        <w:tc>
          <w:tcPr>
            <w:tcW w:type="dxa" w:w="2878"/>
          </w:tcPr>
          <w:p>
            <w:pPr>
              <w:spacing w:after="40" w:before="40"/>
            </w:pPr>
            <w:r/>
            <w:r>
              <w:rPr>
                <w:rFonts w:ascii="宋体" w:hAnsi="宋体"/>
                <w:sz w:val="20"/>
              </w:rPr>
              <w:t>"当前蓝色饱和度过高，换为低饱和暖色系"</w:t>
            </w:r>
          </w:p>
        </w:tc>
        <w:tc>
          <w:tcPr>
            <w:tcW w:type="dxa" w:w="2878"/>
          </w:tcPr>
          <w:p>
            <w:pPr>
              <w:spacing w:after="40" w:before="40"/>
            </w:pPr>
            <w:r/>
            <w:r>
              <w:rPr>
                <w:rFonts w:ascii="宋体" w:hAnsi="宋体"/>
                <w:sz w:val="20"/>
              </w:rPr>
              <w:t>所有可视化输出</w:t>
            </w:r>
          </w:p>
        </w:tc>
      </w:tr>
      <w:tr>
        <w:tc>
          <w:tcPr>
            <w:tcW w:type="dxa" w:w="2878"/>
          </w:tcPr>
          <w:p>
            <w:pPr>
              <w:spacing w:after="40" w:before="40"/>
            </w:pPr>
            <w:r/>
            <w:r>
              <w:rPr>
                <w:rFonts w:ascii="宋体" w:hAnsi="宋体"/>
                <w:sz w:val="20"/>
              </w:rPr>
              <w:t>功能增减</w:t>
            </w:r>
          </w:p>
        </w:tc>
        <w:tc>
          <w:tcPr>
            <w:tcW w:type="dxa" w:w="2878"/>
          </w:tcPr>
          <w:p>
            <w:pPr>
              <w:spacing w:after="40" w:before="40"/>
            </w:pPr>
            <w:r/>
            <w:r>
              <w:rPr>
                <w:rFonts w:ascii="宋体" w:hAnsi="宋体"/>
                <w:sz w:val="20"/>
              </w:rPr>
              <w:t>"在此基础上新增 SOH 衰减速率曲线"</w:t>
            </w:r>
          </w:p>
        </w:tc>
        <w:tc>
          <w:tcPr>
            <w:tcW w:type="dxa" w:w="2878"/>
          </w:tcPr>
          <w:p>
            <w:pPr>
              <w:spacing w:after="40" w:before="40"/>
            </w:pPr>
            <w:r/>
            <w:r>
              <w:rPr>
                <w:rFonts w:ascii="宋体" w:hAnsi="宋体"/>
                <w:sz w:val="20"/>
              </w:rPr>
              <w:t>数据处理与建模</w:t>
            </w:r>
          </w:p>
        </w:tc>
      </w:tr>
      <w:tr>
        <w:tc>
          <w:tcPr>
            <w:tcW w:type="dxa" w:w="2878"/>
          </w:tcPr>
          <w:p>
            <w:pPr>
              <w:spacing w:after="40" w:before="40"/>
            </w:pPr>
            <w:r/>
            <w:r>
              <w:rPr>
                <w:rFonts w:ascii="宋体" w:hAnsi="宋体"/>
                <w:sz w:val="20"/>
              </w:rPr>
              <w:t>简化精简</w:t>
            </w:r>
          </w:p>
        </w:tc>
        <w:tc>
          <w:tcPr>
            <w:tcW w:type="dxa" w:w="2878"/>
          </w:tcPr>
          <w:p>
            <w:pPr>
              <w:spacing w:after="40" w:before="40"/>
            </w:pPr>
            <w:r/>
            <w:r>
              <w:rPr>
                <w:rFonts w:ascii="宋体" w:hAnsi="宋体"/>
                <w:sz w:val="20"/>
              </w:rPr>
              <w:t>"当前版本功能过多，仅保留核心对比功能"</w:t>
            </w:r>
          </w:p>
        </w:tc>
        <w:tc>
          <w:tcPr>
            <w:tcW w:type="dxa" w:w="2878"/>
          </w:tcPr>
          <w:p>
            <w:pPr>
              <w:spacing w:after="40" w:before="40"/>
            </w:pPr>
            <w:r/>
            <w:r>
              <w:rPr>
                <w:rFonts w:ascii="宋体" w:hAnsi="宋体"/>
                <w:sz w:val="20"/>
              </w:rPr>
              <w:t>工具与界面</w:t>
            </w:r>
          </w:p>
        </w:tc>
      </w:tr>
      <w:tr>
        <w:tc>
          <w:tcPr>
            <w:tcW w:type="dxa" w:w="2878"/>
          </w:tcPr>
          <w:p>
            <w:pPr>
              <w:spacing w:after="40" w:before="40"/>
            </w:pPr>
            <w:r/>
            <w:r>
              <w:rPr>
                <w:rFonts w:ascii="宋体" w:hAnsi="宋体"/>
                <w:sz w:val="20"/>
              </w:rPr>
              <w:t>故障修复</w:t>
            </w:r>
          </w:p>
        </w:tc>
        <w:tc>
          <w:tcPr>
            <w:tcW w:type="dxa" w:w="2878"/>
          </w:tcPr>
          <w:p>
            <w:pPr>
              <w:spacing w:after="40" w:before="40"/>
            </w:pPr>
            <w:r/>
            <w:r>
              <w:rPr>
                <w:rFonts w:ascii="宋体" w:hAnsi="宋体"/>
                <w:sz w:val="20"/>
              </w:rPr>
              <w:t>"运行报错，请自行排查原因并交付可运行版本"</w:t>
            </w:r>
          </w:p>
        </w:tc>
        <w:tc>
          <w:tcPr>
            <w:tcW w:type="dxa" w:w="2878"/>
          </w:tcPr>
          <w:p>
            <w:pPr>
              <w:spacing w:after="40" w:before="40"/>
            </w:pPr>
            <w:r/>
            <w:r>
              <w:rPr>
                <w:rFonts w:ascii="宋体" w:hAnsi="宋体"/>
                <w:sz w:val="20"/>
              </w:rPr>
              <w:t>所有项目</w:t>
            </w:r>
          </w:p>
        </w:tc>
      </w:tr>
      <w:tr>
        <w:tc>
          <w:tcPr>
            <w:tcW w:type="dxa" w:w="2878"/>
          </w:tcPr>
          <w:p>
            <w:pPr>
              <w:spacing w:after="40" w:before="40"/>
            </w:pPr>
            <w:r/>
            <w:r>
              <w:rPr>
                <w:rFonts w:ascii="宋体" w:hAnsi="宋体"/>
                <w:sz w:val="20"/>
              </w:rPr>
              <w:t>风格转向</w:t>
            </w:r>
          </w:p>
        </w:tc>
        <w:tc>
          <w:tcPr>
            <w:tcW w:type="dxa" w:w="2878"/>
          </w:tcPr>
          <w:p>
            <w:pPr>
              <w:spacing w:after="40" w:before="40"/>
            </w:pPr>
            <w:r/>
            <w:r>
              <w:rPr>
                <w:rFonts w:ascii="宋体" w:hAnsi="宋体"/>
                <w:sz w:val="20"/>
              </w:rPr>
              <w:t>"整体风格由商务报告风格改为学术期刊风格"</w:t>
            </w:r>
          </w:p>
        </w:tc>
        <w:tc>
          <w:tcPr>
            <w:tcW w:type="dxa" w:w="2878"/>
          </w:tcPr>
          <w:p>
            <w:pPr>
              <w:spacing w:after="40" w:before="40"/>
            </w:pPr>
            <w:r/>
            <w:r>
              <w:rPr>
                <w:rFonts w:ascii="宋体" w:hAnsi="宋体"/>
                <w:sz w:val="20"/>
              </w:rPr>
              <w:t>可视化与文档</w:t>
            </w:r>
          </w:p>
        </w:tc>
      </w:tr>
      <w:tr>
        <w:tc>
          <w:tcPr>
            <w:tcW w:type="dxa" w:w="2878"/>
          </w:tcPr>
          <w:p>
            <w:pPr>
              <w:spacing w:after="40" w:before="40"/>
            </w:pPr>
            <w:r/>
            <w:r>
              <w:rPr>
                <w:rFonts w:ascii="宋体" w:hAnsi="宋体"/>
                <w:sz w:val="20"/>
              </w:rPr>
              <w:t>维度替换</w:t>
            </w:r>
          </w:p>
        </w:tc>
        <w:tc>
          <w:tcPr>
            <w:tcW w:type="dxa" w:w="2878"/>
          </w:tcPr>
          <w:p>
            <w:pPr>
              <w:spacing w:after="40" w:before="40"/>
            </w:pPr>
            <w:r/>
            <w:r>
              <w:rPr>
                <w:rFonts w:ascii="宋体" w:hAnsi="宋体"/>
                <w:sz w:val="20"/>
              </w:rPr>
              <w:t>"横坐标从时间改为循环次数"</w:t>
            </w:r>
          </w:p>
        </w:tc>
        <w:tc>
          <w:tcPr>
            <w:tcW w:type="dxa" w:w="2878"/>
          </w:tcPr>
          <w:p>
            <w:pPr>
              <w:spacing w:after="40" w:before="40"/>
            </w:pPr>
            <w:r/>
            <w:r>
              <w:rPr>
                <w:rFonts w:ascii="宋体" w:hAnsi="宋体"/>
                <w:sz w:val="20"/>
              </w:rPr>
              <w:t>数据分析</w:t>
            </w:r>
          </w:p>
        </w:tc>
      </w:tr>
      <w:tr>
        <w:tc>
          <w:tcPr>
            <w:tcW w:type="dxa" w:w="2878"/>
          </w:tcPr>
          <w:p>
            <w:pPr>
              <w:spacing w:after="40" w:before="40"/>
            </w:pPr>
            <w:r/>
            <w:r>
              <w:rPr>
                <w:rFonts w:ascii="宋体" w:hAnsi="宋体"/>
                <w:sz w:val="20"/>
              </w:rPr>
              <w:t>输出格式</w:t>
            </w:r>
          </w:p>
        </w:tc>
        <w:tc>
          <w:tcPr>
            <w:tcW w:type="dxa" w:w="2878"/>
          </w:tcPr>
          <w:p>
            <w:pPr>
              <w:spacing w:after="40" w:before="40"/>
            </w:pPr>
            <w:r/>
            <w:r>
              <w:rPr>
                <w:rFonts w:ascii="宋体" w:hAnsi="宋体"/>
                <w:sz w:val="20"/>
              </w:rPr>
              <w:t>"导出 300dpi PNG，标注字号增大一号"</w:t>
            </w:r>
          </w:p>
        </w:tc>
        <w:tc>
          <w:tcPr>
            <w:tcW w:type="dxa" w:w="2878"/>
          </w:tcPr>
          <w:p>
            <w:pPr>
              <w:spacing w:after="40" w:before="40"/>
            </w:pPr>
            <w:r/>
            <w:r>
              <w:rPr>
                <w:rFonts w:ascii="宋体" w:hAnsi="宋体"/>
                <w:sz w:val="20"/>
              </w:rPr>
              <w:t>论文配图</w:t>
            </w:r>
          </w:p>
        </w:tc>
      </w:tr>
      <w:tr>
        <w:tc>
          <w:tcPr>
            <w:tcW w:type="dxa" w:w="2878"/>
          </w:tcPr>
          <w:p>
            <w:pPr>
              <w:spacing w:after="40" w:before="40"/>
            </w:pPr>
            <w:r/>
            <w:r>
              <w:rPr>
                <w:rFonts w:ascii="宋体" w:hAnsi="宋体"/>
                <w:sz w:val="20"/>
              </w:rPr>
              <w:t>数据范围调整</w:t>
            </w:r>
          </w:p>
        </w:tc>
        <w:tc>
          <w:tcPr>
            <w:tcW w:type="dxa" w:w="2878"/>
          </w:tcPr>
          <w:p>
            <w:pPr>
              <w:spacing w:after="40" w:before="40"/>
            </w:pPr>
            <w:r/>
            <w:r>
              <w:rPr>
                <w:rFonts w:ascii="宋体" w:hAnsi="宋体"/>
                <w:sz w:val="20"/>
              </w:rPr>
              <w:t>"仅展示前 200 个循环的数据"</w:t>
            </w:r>
          </w:p>
        </w:tc>
        <w:tc>
          <w:tcPr>
            <w:tcW w:type="dxa" w:w="2878"/>
          </w:tcPr>
          <w:p>
            <w:pPr>
              <w:spacing w:after="40" w:before="40"/>
            </w:pPr>
            <w:r/>
            <w:r>
              <w:rPr>
                <w:rFonts w:ascii="宋体" w:hAnsi="宋体"/>
                <w:sz w:val="20"/>
              </w:rPr>
              <w:t>数据分析</w:t>
            </w:r>
          </w:p>
        </w:tc>
      </w:tr>
      <w:tr>
        <w:tc>
          <w:tcPr>
            <w:tcW w:type="dxa" w:w="2878"/>
          </w:tcPr>
          <w:p>
            <w:pPr>
              <w:spacing w:after="40" w:before="40"/>
            </w:pPr>
            <w:r/>
            <w:r>
              <w:rPr>
                <w:rFonts w:ascii="宋体" w:hAnsi="宋体"/>
                <w:sz w:val="20"/>
              </w:rPr>
              <w:t>模型参数变更</w:t>
            </w:r>
          </w:p>
        </w:tc>
        <w:tc>
          <w:tcPr>
            <w:tcW w:type="dxa" w:w="2878"/>
          </w:tcPr>
          <w:p>
            <w:pPr>
              <w:spacing w:after="40" w:before="40"/>
            </w:pPr>
            <w:r/>
            <w:r>
              <w:rPr>
                <w:rFonts w:ascii="宋体" w:hAnsi="宋体"/>
                <w:sz w:val="20"/>
              </w:rPr>
              <w:t>"SVM 改用 RBF 核，添加网格搜索自动调参"</w:t>
            </w:r>
          </w:p>
        </w:tc>
        <w:tc>
          <w:tcPr>
            <w:tcW w:type="dxa" w:w="2878"/>
          </w:tcPr>
          <w:p>
            <w:pPr>
              <w:spacing w:after="40" w:before="40"/>
            </w:pPr>
            <w:r/>
            <w:r>
              <w:rPr>
                <w:rFonts w:ascii="宋体" w:hAnsi="宋体"/>
                <w:sz w:val="20"/>
              </w:rPr>
              <w:t>机器学习建模</w:t>
            </w:r>
          </w:p>
        </w:tc>
      </w:tr>
      <w:tr>
        <w:tc>
          <w:tcPr>
            <w:tcW w:type="dxa" w:w="2878"/>
          </w:tcPr>
          <w:p>
            <w:pPr>
              <w:spacing w:after="40" w:before="40"/>
            </w:pPr>
            <w:r/>
            <w:r>
              <w:rPr>
                <w:rFonts w:ascii="宋体" w:hAnsi="宋体"/>
                <w:sz w:val="20"/>
              </w:rPr>
              <w:t>多图排版</w:t>
            </w:r>
          </w:p>
        </w:tc>
        <w:tc>
          <w:tcPr>
            <w:tcW w:type="dxa" w:w="2878"/>
          </w:tcPr>
          <w:p>
            <w:pPr>
              <w:spacing w:after="40" w:before="40"/>
            </w:pPr>
            <w:r/>
            <w:r>
              <w:rPr>
                <w:rFonts w:ascii="宋体" w:hAnsi="宋体"/>
                <w:sz w:val="20"/>
              </w:rPr>
              <w:t>"四张图拼成 2×2 矩阵，统一色板和图例样式"</w:t>
            </w:r>
          </w:p>
        </w:tc>
        <w:tc>
          <w:tcPr>
            <w:tcW w:type="dxa" w:w="2878"/>
          </w:tcPr>
          <w:p>
            <w:pPr>
              <w:spacing w:after="40" w:before="40"/>
            </w:pPr>
            <w:r/>
            <w:r>
              <w:rPr>
                <w:rFonts w:ascii="宋体" w:hAnsi="宋体"/>
                <w:sz w:val="20"/>
              </w:rPr>
              <w:t>论文组图</w:t>
            </w:r>
          </w:p>
        </w:tc>
      </w:tr>
    </w:tbl>
    <w:p/>
    <w:p>
      <w:r>
        <w:rPr>
          <w:rFonts w:ascii="宋体" w:hAnsi="宋体"/>
          <w:sz w:val="24"/>
        </w:rPr>
        <w:t>修改指令呈现出三个稳定的特征。第一是问题导向而非方案导向——描述"效果哪里不对"而非"代码哪里有问题"，例如说"配色不协调"而不说"第 47 行的 color 参数值错了"。第二是愿景导向而非指令导向——描述"希望变成什么效果"而非"应该执行什么操作"，例如说"学术期刊风格"而不是"把色板改成 viridis、字体改成 serif"。第三是信任 AI 的技术判断力——不指定具体参数、不引用 API 文档、不提供示例代码，AI 自行在技术空间中搜索最优实现方案。</w:t>
      </w:r>
    </w:p>
    <w:p>
      <w:r>
        <w:rPr>
          <w:rFonts w:ascii="宋体" w:hAnsi="宋体"/>
          <w:sz w:val="24"/>
        </w:rPr>
        <w:t>迭代收敛的基本逻辑为：提出修改需求 → AI 执行修改并重新交付 → 审视修改效果 → 若满意则本轮修改结束，若仍有偏差则提出下一条修改需求，直至在所有维度上均达到使用者感知满意的标准。每一轮修改的周期通常在十秒至一分钟之间（取决于项目规模），因此即便是七八轮的深度迭代，总计时间投入也仅需数分钟。</w:t>
      </w:r>
    </w:p>
    <w:p>
      <w:r>
        <w:rPr>
          <w:rFonts w:ascii="宋体" w:hAnsi="宋体"/>
          <w:sz w:val="24"/>
        </w:rPr>
        <w:t>以 Knee-point 跨体系拐点预测项目中的一张多模型对比图为例，完整迭代记录如下：</w:t>
      </w:r>
    </w:p>
    <w:tbl>
      <w:tblPr>
        <w:tblStyle w:val="LightGrid-Accent1"/>
        <w:tblW w:type="auto" w:w="0"/>
        <w:tblLayout w:type="autofit"/>
        <w:tblLook w:firstColumn="1" w:firstRow="1" w:lastColumn="0" w:lastRow="0" w:noHBand="0" w:noVBand="1" w:val="04A0"/>
      </w:tblPr>
      <w:tblGrid>
        <w:gridCol w:w="2878"/>
        <w:gridCol w:w="2878"/>
        <w:gridCol w:w="2878"/>
      </w:tblGrid>
      <w:tr>
        <w:tc>
          <w:tcPr>
            <w:tcW w:type="dxa" w:w="2878"/>
          </w:tcPr>
          <w:p>
            <w:pPr>
              <w:spacing w:after="40" w:before="40"/>
            </w:pPr>
            <w:r/>
            <w:r>
              <w:rPr>
                <w:rFonts w:ascii="宋体" w:hAnsi="宋体"/>
                <w:b/>
                <w:sz w:val="20"/>
              </w:rPr>
              <w:t>轮次</w:t>
            </w:r>
          </w:p>
        </w:tc>
        <w:tc>
          <w:tcPr>
            <w:tcW w:type="dxa" w:w="2878"/>
          </w:tcPr>
          <w:p>
            <w:pPr>
              <w:spacing w:after="40" w:before="40"/>
            </w:pPr>
            <w:r/>
            <w:r>
              <w:rPr>
                <w:rFonts w:ascii="宋体" w:hAnsi="宋体"/>
                <w:b/>
                <w:sz w:val="20"/>
              </w:rPr>
              <w:t>使用者输入</w:t>
            </w:r>
          </w:p>
        </w:tc>
        <w:tc>
          <w:tcPr>
            <w:tcW w:type="dxa" w:w="2878"/>
          </w:tcPr>
          <w:p>
            <w:pPr>
              <w:spacing w:after="40" w:before="40"/>
            </w:pPr>
            <w:r/>
            <w:r>
              <w:rPr>
                <w:rFonts w:ascii="宋体" w:hAnsi="宋体"/>
                <w:b/>
                <w:sz w:val="20"/>
              </w:rPr>
              <w:t>AI 输出变化</w:t>
            </w:r>
          </w:p>
        </w:tc>
      </w:tr>
      <w:tr>
        <w:tc>
          <w:tcPr>
            <w:tcW w:type="dxa" w:w="2878"/>
          </w:tcPr>
          <w:p>
            <w:pPr>
              <w:spacing w:after="40" w:before="40"/>
            </w:pPr>
            <w:r/>
            <w:r>
              <w:rPr>
                <w:rFonts w:ascii="宋体" w:hAnsi="宋体"/>
                <w:sz w:val="20"/>
              </w:rPr>
              <w:t>1</w:t>
            </w:r>
          </w:p>
        </w:tc>
        <w:tc>
          <w:tcPr>
            <w:tcW w:type="dxa" w:w="2878"/>
          </w:tcPr>
          <w:p>
            <w:pPr>
              <w:spacing w:after="40" w:before="40"/>
            </w:pPr>
            <w:r/>
            <w:r>
              <w:rPr>
                <w:rFonts w:ascii="宋体" w:hAnsi="宋体"/>
                <w:sz w:val="20"/>
              </w:rPr>
              <w:t>"配色换一个，默认的太普通"</w:t>
            </w:r>
          </w:p>
        </w:tc>
        <w:tc>
          <w:tcPr>
            <w:tcW w:type="dxa" w:w="2878"/>
          </w:tcPr>
          <w:p>
            <w:pPr>
              <w:spacing w:after="40" w:before="40"/>
            </w:pPr>
            <w:r/>
            <w:r>
              <w:rPr>
                <w:rFonts w:ascii="宋体" w:hAnsi="宋体"/>
                <w:sz w:val="20"/>
              </w:rPr>
              <w:t>色板切换为 seaborn 的 muted 方案</w:t>
            </w:r>
          </w:p>
        </w:tc>
      </w:tr>
      <w:tr>
        <w:tc>
          <w:tcPr>
            <w:tcW w:type="dxa" w:w="2878"/>
          </w:tcPr>
          <w:p>
            <w:pPr>
              <w:spacing w:after="40" w:before="40"/>
            </w:pPr>
            <w:r/>
            <w:r>
              <w:rPr>
                <w:rFonts w:ascii="宋体" w:hAnsi="宋体"/>
                <w:sz w:val="20"/>
              </w:rPr>
              <w:t>2</w:t>
            </w:r>
          </w:p>
        </w:tc>
        <w:tc>
          <w:tcPr>
            <w:tcW w:type="dxa" w:w="2878"/>
          </w:tcPr>
          <w:p>
            <w:pPr>
              <w:spacing w:after="40" w:before="40"/>
            </w:pPr>
            <w:r/>
            <w:r>
              <w:rPr>
                <w:rFonts w:ascii="宋体" w:hAnsi="宋体"/>
                <w:sz w:val="20"/>
              </w:rPr>
              <w:t>"还是不够学术，换一种更正式的配色"</w:t>
            </w:r>
          </w:p>
        </w:tc>
        <w:tc>
          <w:tcPr>
            <w:tcW w:type="dxa" w:w="2878"/>
          </w:tcPr>
          <w:p>
            <w:pPr>
              <w:spacing w:after="40" w:before="40"/>
            </w:pPr>
            <w:r/>
            <w:r>
              <w:rPr>
                <w:rFonts w:ascii="宋体" w:hAnsi="宋体"/>
                <w:sz w:val="20"/>
              </w:rPr>
              <w:t>切换为自定义的低饱和学术色板</w:t>
            </w:r>
          </w:p>
        </w:tc>
      </w:tr>
      <w:tr>
        <w:tc>
          <w:tcPr>
            <w:tcW w:type="dxa" w:w="2878"/>
          </w:tcPr>
          <w:p>
            <w:pPr>
              <w:spacing w:after="40" w:before="40"/>
            </w:pPr>
            <w:r/>
            <w:r>
              <w:rPr>
                <w:rFonts w:ascii="宋体" w:hAnsi="宋体"/>
                <w:sz w:val="20"/>
              </w:rPr>
              <w:t>3</w:t>
            </w:r>
          </w:p>
        </w:tc>
        <w:tc>
          <w:tcPr>
            <w:tcW w:type="dxa" w:w="2878"/>
          </w:tcPr>
          <w:p>
            <w:pPr>
              <w:spacing w:after="40" w:before="40"/>
            </w:pPr>
            <w:r/>
            <w:r>
              <w:rPr>
                <w:rFonts w:ascii="宋体" w:hAnsi="宋体"/>
                <w:sz w:val="20"/>
              </w:rPr>
              <w:t>"SVM 的柱子和 LSTM 的颜色太接近，区分不开"</w:t>
            </w:r>
          </w:p>
        </w:tc>
        <w:tc>
          <w:tcPr>
            <w:tcW w:type="dxa" w:w="2878"/>
          </w:tcPr>
          <w:p>
            <w:pPr>
              <w:spacing w:after="40" w:before="40"/>
            </w:pPr>
            <w:r/>
            <w:r>
              <w:rPr>
                <w:rFonts w:ascii="宋体" w:hAnsi="宋体"/>
                <w:sz w:val="20"/>
              </w:rPr>
              <w:t>调整色板中相邻颜色的对比度</w:t>
            </w:r>
          </w:p>
        </w:tc>
      </w:tr>
      <w:tr>
        <w:tc>
          <w:tcPr>
            <w:tcW w:type="dxa" w:w="2878"/>
          </w:tcPr>
          <w:p>
            <w:pPr>
              <w:spacing w:after="40" w:before="40"/>
            </w:pPr>
            <w:r/>
            <w:r>
              <w:rPr>
                <w:rFonts w:ascii="宋体" w:hAnsi="宋体"/>
                <w:sz w:val="20"/>
              </w:rPr>
              <w:t>4</w:t>
            </w:r>
          </w:p>
        </w:tc>
        <w:tc>
          <w:tcPr>
            <w:tcW w:type="dxa" w:w="2878"/>
          </w:tcPr>
          <w:p>
            <w:pPr>
              <w:spacing w:after="40" w:before="40"/>
            </w:pPr>
            <w:r/>
            <w:r>
              <w:rPr>
                <w:rFonts w:ascii="宋体" w:hAnsi="宋体"/>
                <w:sz w:val="20"/>
              </w:rPr>
              <w:t>"图例放在图外面，不要挡数据"</w:t>
            </w:r>
          </w:p>
        </w:tc>
        <w:tc>
          <w:tcPr>
            <w:tcW w:type="dxa" w:w="2878"/>
          </w:tcPr>
          <w:p>
            <w:pPr>
              <w:spacing w:after="40" w:before="40"/>
            </w:pPr>
            <w:r/>
            <w:r>
              <w:rPr>
                <w:rFonts w:ascii="宋体" w:hAnsi="宋体"/>
                <w:sz w:val="20"/>
              </w:rPr>
              <w:t>图例从右上角移至图表右侧外部</w:t>
            </w:r>
          </w:p>
        </w:tc>
      </w:tr>
      <w:tr>
        <w:tc>
          <w:tcPr>
            <w:tcW w:type="dxa" w:w="2878"/>
          </w:tcPr>
          <w:p>
            <w:pPr>
              <w:spacing w:after="40" w:before="40"/>
            </w:pPr>
            <w:r/>
            <w:r>
              <w:rPr>
                <w:rFonts w:ascii="宋体" w:hAnsi="宋体"/>
                <w:sz w:val="20"/>
              </w:rPr>
              <w:t>5</w:t>
            </w:r>
          </w:p>
        </w:tc>
        <w:tc>
          <w:tcPr>
            <w:tcW w:type="dxa" w:w="2878"/>
          </w:tcPr>
          <w:p>
            <w:pPr>
              <w:spacing w:after="40" w:before="40"/>
            </w:pPr>
            <w:r/>
            <w:r>
              <w:rPr>
                <w:rFonts w:ascii="宋体" w:hAnsi="宋体"/>
                <w:sz w:val="20"/>
              </w:rPr>
              <w:t>"字体全部改成 Times New Roman，加大一号"</w:t>
            </w:r>
          </w:p>
        </w:tc>
        <w:tc>
          <w:tcPr>
            <w:tcW w:type="dxa" w:w="2878"/>
          </w:tcPr>
          <w:p>
            <w:pPr>
              <w:spacing w:after="40" w:before="40"/>
            </w:pPr>
            <w:r/>
            <w:r>
              <w:rPr>
                <w:rFonts w:ascii="宋体" w:hAnsi="宋体"/>
                <w:sz w:val="20"/>
              </w:rPr>
              <w:t>全局字体设置更新，字号 +1</w:t>
            </w:r>
          </w:p>
        </w:tc>
      </w:tr>
      <w:tr>
        <w:tc>
          <w:tcPr>
            <w:tcW w:type="dxa" w:w="2878"/>
          </w:tcPr>
          <w:p>
            <w:pPr>
              <w:spacing w:after="40" w:before="40"/>
            </w:pPr>
            <w:r/>
            <w:r>
              <w:rPr>
                <w:rFonts w:ascii="宋体" w:hAnsi="宋体"/>
                <w:sz w:val="20"/>
              </w:rPr>
              <w:t>6</w:t>
            </w:r>
          </w:p>
        </w:tc>
        <w:tc>
          <w:tcPr>
            <w:tcW w:type="dxa" w:w="2878"/>
          </w:tcPr>
          <w:p>
            <w:pPr>
              <w:spacing w:after="40" w:before="40"/>
            </w:pPr>
            <w:r/>
            <w:r>
              <w:rPr>
                <w:rFonts w:ascii="宋体" w:hAnsi="宋体"/>
                <w:sz w:val="20"/>
              </w:rPr>
              <w:t>"拐点位置的竖虚线再细一点，不要太抢眼"</w:t>
            </w:r>
          </w:p>
        </w:tc>
        <w:tc>
          <w:tcPr>
            <w:tcW w:type="dxa" w:w="2878"/>
          </w:tcPr>
          <w:p>
            <w:pPr>
              <w:spacing w:after="40" w:before="40"/>
            </w:pPr>
            <w:r/>
            <w:r>
              <w:rPr>
                <w:rFonts w:ascii="宋体" w:hAnsi="宋体"/>
                <w:sz w:val="20"/>
              </w:rPr>
              <w:t>调整竖虚线粗细与透明度</w:t>
            </w:r>
          </w:p>
        </w:tc>
      </w:tr>
      <w:tr>
        <w:tc>
          <w:tcPr>
            <w:tcW w:type="dxa" w:w="2878"/>
          </w:tcPr>
          <w:p>
            <w:pPr>
              <w:spacing w:after="40" w:before="40"/>
            </w:pPr>
            <w:r/>
            <w:r>
              <w:rPr>
                <w:rFonts w:ascii="宋体" w:hAnsi="宋体"/>
                <w:sz w:val="20"/>
              </w:rPr>
              <w:t>7</w:t>
            </w:r>
          </w:p>
        </w:tc>
        <w:tc>
          <w:tcPr>
            <w:tcW w:type="dxa" w:w="2878"/>
          </w:tcPr>
          <w:p>
            <w:pPr>
              <w:spacing w:after="40" w:before="40"/>
            </w:pPr>
            <w:r/>
            <w:r>
              <w:rPr>
                <w:rFonts w:ascii="宋体" w:hAnsi="宋体"/>
                <w:sz w:val="20"/>
              </w:rPr>
              <w:t>"四条曲线看着有点乱，加个网格线做参照"</w:t>
            </w:r>
          </w:p>
        </w:tc>
        <w:tc>
          <w:tcPr>
            <w:tcW w:type="dxa" w:w="2878"/>
          </w:tcPr>
          <w:p>
            <w:pPr>
              <w:spacing w:after="40" w:before="40"/>
            </w:pPr>
            <w:r/>
            <w:r>
              <w:rPr>
                <w:rFonts w:ascii="宋体" w:hAnsi="宋体"/>
                <w:sz w:val="20"/>
              </w:rPr>
              <w:t>添加浅灰色虚线网格</w:t>
            </w:r>
          </w:p>
        </w:tc>
      </w:tr>
      <w:tr>
        <w:tc>
          <w:tcPr>
            <w:tcW w:type="dxa" w:w="2878"/>
          </w:tcPr>
          <w:p>
            <w:pPr>
              <w:spacing w:after="40" w:before="40"/>
            </w:pPr>
            <w:r/>
            <w:r>
              <w:rPr>
                <w:rFonts w:ascii="宋体" w:hAnsi="宋体"/>
                <w:sz w:val="20"/>
              </w:rPr>
              <w:t>8</w:t>
            </w:r>
          </w:p>
        </w:tc>
        <w:tc>
          <w:tcPr>
            <w:tcW w:type="dxa" w:w="2878"/>
          </w:tcPr>
          <w:p>
            <w:pPr>
              <w:spacing w:after="40" w:before="40"/>
            </w:pPr>
            <w:r/>
            <w:r>
              <w:rPr>
                <w:rFonts w:ascii="宋体" w:hAnsi="宋体"/>
                <w:sz w:val="20"/>
              </w:rPr>
              <w:t>"右边和上边的边框去掉，只留左边和下边"</w:t>
            </w:r>
          </w:p>
        </w:tc>
        <w:tc>
          <w:tcPr>
            <w:tcW w:type="dxa" w:w="2878"/>
          </w:tcPr>
          <w:p>
            <w:pPr>
              <w:spacing w:after="40" w:before="40"/>
            </w:pPr>
            <w:r/>
            <w:r>
              <w:rPr>
                <w:rFonts w:ascii="宋体" w:hAnsi="宋体"/>
                <w:sz w:val="20"/>
              </w:rPr>
              <w:t>应用 matplotlib 的 despine 设置</w:t>
            </w:r>
          </w:p>
        </w:tc>
      </w:tr>
    </w:tbl>
    <w:p/>
    <w:p>
      <w:r>
        <w:rPr>
          <w:rFonts w:ascii="宋体" w:hAnsi="宋体"/>
          <w:sz w:val="24"/>
        </w:rPr>
        <w:t>全程共计八轮迭代，使用者总输入字数不足 100 字，总耗时约 4 分钟，最终产出达到期刊发表视觉效果标准。</w:t>
      </w:r>
    </w:p>
    <w:p>
      <w:pPr>
        <w:pStyle w:val="Heading3"/>
      </w:pPr>
      <w:r>
        <w:t>第五步：验收通过后直接交付使用</w:t>
      </w:r>
    </w:p>
    <w:p>
      <w:r>
        <w:rPr>
          <w:rFonts w:ascii="宋体" w:hAnsi="宋体"/>
          <w:sz w:val="24"/>
        </w:rPr>
        <w:t>这是流程的终点，也是与传统开发模式分道扬镳最明显的节点。效果确认满意后，图表直接嵌入论文稿件，数据表格直接用于组会汇报，脚本直接部署到工作环境执行任务，不存在"从开发环境迁移到生产环境"的额外步骤——开发即生产。不对已经满足需求的交付物追加非必要的优化修改，认可"足够好"即为"已完成"。不利用已完成的项目反向研究 AI 的实现方式，不追问"你用了什么方法""为什么这样写"，完成即归档。不对未来可能的修改需求提前准备，不要求 AI 添加注释或文档（除复现所必需的环境配置说明外）。未来需要修改时，重新启动一个新的 Vibe Coding 流程即可。</w:t>
      </w:r>
    </w:p>
    <w:p>
      <w:r>
        <w:rPr>
          <w:rFonts w:ascii="宋体" w:hAnsi="宋体"/>
          <w:sz w:val="24"/>
        </w:rPr>
        <w:t>代码在此范式下的定位发生了根本性转变。传统软件工程视代码为需要长期养护的资产——注释、文档、架构、测试、CI/CD 均围绕此定位展开。而在 Vibe Coding 范式下，代码被重新定位为满足当前需求的消耗品——仅需保证当下的正确运行，无需为未来的可维护性付出额外成本。此定位成立的前提是 AI 代码生成能力已经达到"重新生成成本低于理解旧代码成本"的拐点，而实践反复验证了这一前提：让 AI 重新生成一段代码的时间通常不超过一分钟，而人读懂一段两百行的陌生代码所需时间远超于此。对于非技术背景的使用者而言，"读懂旧代码"的成本近乎无穷大（需要先学习编程语言），因此消耗品定位的性价比优势更加绝对。当然，"不维护代码"不等于"不保留复现能力"——实践中通过在项目根部要求 AI 生成一个最小化的 README，记录运行环境、依赖库列表与启动指令，生成成本可忽略不计但提供了充足的复现信息。</w:t>
      </w:r>
    </w:p>
    <w:p/>
    <w:p>
      <w:pPr>
        <w:pStyle w:val="Heading2"/>
      </w:pPr>
      <w:r>
        <w:t>四、标准化的需求表述范式</w:t>
      </w:r>
    </w:p>
    <w:p>
      <w:r>
        <w:rPr>
          <w:rFonts w:ascii="宋体" w:hAnsi="宋体"/>
          <w:sz w:val="24"/>
        </w:rPr>
        <w:t>经过大量项目的实践积累，与 AI 的交互逐渐收敛至四种稳定的句式，不要求使用者掌握任何技术知识。</w:t>
      </w:r>
    </w:p>
    <w:p>
      <w:r>
        <w:rPr>
          <w:rFonts w:ascii="宋体" w:hAnsi="宋体"/>
          <w:b/>
          <w:sz w:val="24"/>
        </w:rPr>
        <w:t>范式一：创建新项目。</w:t>
      </w:r>
      <w:r>
        <w:rPr>
          <w:rFonts w:ascii="宋体" w:hAnsi="宋体"/>
          <w:sz w:val="24"/>
        </w:rPr>
        <w:t xml:space="preserve"> 标准句式为"构建/制作一个【项目名称或简要描述】，功能上需要【功能诉求】，视觉/风格上希望【简洁/学术/现代等】，不需要过度复杂"。例如："构建一个电池数据集可视化工具，功能包括自动读取 CSV 文件、绘制容量衰减曲线、在图上标注拐点位置，界面保持简洁，不需要复杂交互。"句式中包含五个关键要素：动作词（构建/制作/搭建）明确告知 AI 这是新建任务，对象描述界定领域边界，功能范围明确输出需要包含什么，风格取向设定审美基准线，复杂度约束防止 AI 过度工程设计。</w:t>
      </w:r>
    </w:p>
    <w:p>
      <w:r>
        <w:rPr>
          <w:rFonts w:ascii="宋体" w:hAnsi="宋体"/>
          <w:b/>
          <w:sz w:val="24"/>
        </w:rPr>
        <w:t>范式二：修改现有项目或代码。</w:t>
      </w:r>
      <w:r>
        <w:rPr>
          <w:rFonts w:ascii="宋体" w:hAnsi="宋体"/>
          <w:sz w:val="24"/>
        </w:rPr>
        <w:t xml:space="preserve"> 标准句式为"将【前述项目/具体文件名/某个功能】中的【被修改部分】，改为【期望的新效果】，直接输出可运行的完整版本。"例如："将模型对比脚本中 SVM 的超参数选择方式从手动指定改为网格搜索自动调参，搜索范围包括 C 和 gamma，完成后输出完整版本。"其中定位词（前述项目/刚才的代码/具体文件名）明确修改对象，被修改部分描述问题或变更范围，期望效果描述目标状态，完整性要求避免 AI 仅给出修改建议而非完整代码。一个十分实用的变体适用于"不满意但不确定具体原因"的情形——"某个输出/图表/结果感觉不太对，效果不够好，你帮我判断一下问题可能在哪里，然后直接改好"——将诊断权也一并交付给 AI。</w:t>
      </w:r>
    </w:p>
    <w:p>
      <w:r>
        <w:rPr>
          <w:rFonts w:ascii="宋体" w:hAnsi="宋体"/>
          <w:b/>
          <w:sz w:val="24"/>
        </w:rPr>
        <w:t>范式三：故障修复。</w:t>
      </w:r>
      <w:r>
        <w:rPr>
          <w:rFonts w:ascii="宋体" w:hAnsi="宋体"/>
          <w:sz w:val="24"/>
        </w:rPr>
        <w:t xml:space="preserve"> 标准句式为"当前运行报错/结果异常，请自行排查原因，修复后交付可正常运行的最终版本。"使用者不需要描述错误信息（AI 可自行读取报错日志），不需要推测错误原因（诊断权完全交付 AI），不需要提出修复方案（修复策略由 AI 自行决定），仅需表达"存在故障 + 期望修复"两个信号。此范式有一个使用频率极高的极简变体——"跑不通，修一下"——仅五个字，AI 即自行读取错误信息、定位根因、执行修复、验证通过后重新交付，最能体现 Vibe Coding 反馈成本之低。</w:t>
      </w:r>
    </w:p>
    <w:p>
      <w:r>
        <w:rPr>
          <w:rFonts w:ascii="宋体" w:hAnsi="宋体"/>
          <w:b/>
          <w:sz w:val="24"/>
        </w:rPr>
        <w:t>范式四：风格与质感调整。</w:t>
      </w:r>
      <w:r>
        <w:rPr>
          <w:rFonts w:ascii="宋体" w:hAnsi="宋体"/>
          <w:sz w:val="24"/>
        </w:rPr>
        <w:t xml:space="preserve"> 标准句式为"整体风格/视觉效果调整为【形容词，如高级/简洁/学术/现代/干净/精致】，进行细节优化。"常用的感知性形容词中，"学术"用于论文插图与正式汇报，"简洁/干净"用于日常工具与数据看板，"高级/精致"用于需要展示审美水平的输出，"现代"用于网页或前端展示场景，"一目了然"用于信息密度高的图表。例如："将这三张组图整体风格调整至 Nature 子刊发表水准，配色统一采用暖色低饱和方案，字体统一为 Times New Roman，去掉所有不必要的装饰元素。"此范式的精髓在于不定义"Nature 子刊水准"在技术上的具体对应物——AI 在训练数据中已见过大量该级别期刊的配图风格，能够自主推断其视觉特征并在当前输出中复现。</w:t>
      </w:r>
    </w:p>
    <w:p>
      <w:r>
        <w:rPr>
          <w:rFonts w:ascii="宋体" w:hAnsi="宋体"/>
          <w:sz w:val="24"/>
        </w:rPr>
        <w:t>纵观四种范式，可以归纳出四条共性特征：全部以自然语言闭合，不包含代码、参数或技术术语；全部聚焦于目标而非路径，描述"要什么"而非"怎么做"；全部允许模糊与主观，感知性词汇（高级、干净、学术）可以直接使用，由 AI 负责在技术空间中找到对应实现；全部假设 AI 具备自主诊断与自主决策能力，不依赖提示词技巧或分步引导。</w:t>
      </w:r>
    </w:p>
    <w:p/>
    <w:p>
      <w:pPr>
        <w:pStyle w:val="Heading2"/>
      </w:pPr>
      <w:r>
        <w:t>五、科研实践中的完整应用图谱</w:t>
      </w:r>
    </w:p>
    <w:p>
      <w:r>
        <w:rPr>
          <w:rFonts w:ascii="宋体" w:hAnsi="宋体"/>
          <w:sz w:val="24"/>
        </w:rPr>
        <w:t>以下按科研工作的不同环节，梳理 Vibe Coding 的实际应用场景与产出效果。</w:t>
      </w:r>
    </w:p>
    <w:p>
      <w:pPr>
        <w:pStyle w:val="Heading3"/>
      </w:pPr>
      <w:r>
        <w:t>5.1 电池数据处理与分析</w:t>
      </w:r>
    </w:p>
    <w:p>
      <w:r>
        <w:rPr>
          <w:rFonts w:ascii="宋体" w:hAnsi="宋体"/>
          <w:sz w:val="24"/>
        </w:rPr>
        <w:t>CALCE 数据集处理是本方向最早启动的 Vibe Coding 项目之一。任务目标为从马里兰大学电池老化公开数据集的原始 Excel 文件中提取指定电池的循环充放电数据，计算每圈的容量保持率与健康状态（SOH），并标注容量衰减至初始值 80% 时的循环数（即 EOL 寿命终点）。第一轮交互中仅说了一句"提取 CALCE 数据集里 CS2 系列电池的循环数据，算每圈的容量保持率"，AI 即自动编写 pandas 脚本，识别 Excel 中的 sheet 结构、定位容量列、计算保持率。第二轮交互中补充一句"把结果画成容量 vs 循环数的曲线，标出降到 80% 的点"，AI 使用 matplotlib 绘制衰减曲线并添加水平参考线与标注。最终成果为一个可复用的数据处理脚本和一组可直接用于论文的容量衰减曲线图，全程未查看代码，未手动修改任何参数。</w:t>
      </w:r>
    </w:p>
    <w:p>
      <w:r>
        <w:rPr>
          <w:rFonts w:ascii="宋体" w:hAnsi="宋体"/>
          <w:sz w:val="24"/>
        </w:rPr>
        <w:t>上述 CALCE 的处理流程以几乎零迁移成本的方式在 MIT 数据集（MIT-Stanford 电池老化公开数据集，含 124 颗电池）和 XJTU 数据集（西安交通大学电池数据集）上成功复现。仅需一句"把刚才 CALCE 的处理流程在 MIT 数据集上也跑一遍，输出格式保持一致"，AI 即自动适配不同数据集的文件结构、列命名和采样频率差异。</w:t>
      </w:r>
    </w:p>
    <w:p>
      <w:pPr>
        <w:pStyle w:val="Heading3"/>
      </w:pPr>
      <w:r>
        <w:t>5.2 模型开发与系统对比实验</w:t>
      </w:r>
    </w:p>
    <w:p>
      <w:r>
        <w:rPr>
          <w:rFonts w:ascii="宋体" w:hAnsi="宋体"/>
          <w:sz w:val="24"/>
        </w:rPr>
        <w:t>BatteryGPT 项目是一个面向电池寿命预测的端到端深度学习项目，覆盖数据加载与预处理、特征工程、基于 Transformer 架构的模型定义、训练循环、评估指标计算和预测结果可视化。使用者仅需告知 AI"需要一个电池 RUL 预测模型，用 Transformer 架构，输入是容量衰减序列的前 30%，输出是剩余循环数"，AI 负责全部实现细节——包括数据集的训练/测试划分策略、序列长度的选择、Transformer 的层数与注意力头数设定、学习率调度策略和早停机制等。使用者的验收仅聚焦于模型在测试集上的 RMSE 与 MAE 是否合理、预测曲线的可视化效果是否清晰、是否优于传统机器学习模型的基准结果。</w:t>
      </w:r>
    </w:p>
    <w:p>
      <w:r>
        <w:rPr>
          <w:rFonts w:ascii="宋体" w:hAnsi="宋体"/>
          <w:sz w:val="24"/>
        </w:rPr>
        <w:t>在 Knee-point 拐点预测任务上，进行了一次系统性的传统机器学习与深度学习模型对比实验，纳入 SVM（RBF 核）、随机森林、XGBoost 和 LSTM 四类模型。Vibe Coding 实现过程仅需一句"构建一个模型对比框架，把这四个模型在拐点预测任务上都跑一遍，用五折交叉验证，输出每个模型的 RMSE 和 MAE，画对比柱状图"，AI 一次性生成包含数据划分、标准化、模型定义、交叉验证、结果汇总与可视化的完整脚本。同等任务若以传统方式完成——逐个模型调参、手动编写评估代码、手动绘图——预计耗时 2 至 3 周，而 Vibe Coding 的实际耗时约为 1 小时（含多轮迭代可视化优化）。</w:t>
      </w:r>
    </w:p>
    <w:p>
      <w:pPr>
        <w:pStyle w:val="Heading3"/>
      </w:pPr>
      <w:r>
        <w:t>5.3 论文阅读与知识管理</w:t>
      </w:r>
    </w:p>
    <w:p>
      <w:r>
        <w:rPr>
          <w:rFonts w:ascii="宋体" w:hAnsi="宋体"/>
          <w:sz w:val="24"/>
        </w:rPr>
        <w:t>World Models 论文（Ha &amp; Schmidhuber, 2018）的阅读笔记整理是文档类 Vibe Coding 的典型案例。原始输入为散乱的要点式记录，一句"把我这篇论文笔记整理成结构清晰的 Markdown，逻辑理顺，关键概念用粗体标出，公式补充解释说明"之后，AI 产出为一份层次分明的结构化笔记，包含摘要、背景与动机、核心方法（VAE 世界模型 + MDN-RNN 记忆模型 + CMA-ES 控制器）、关键公式及注释、实验设计与结果、个人思考与启发等章节。原始笔记中零散的关键词被串联为连贯的段落，重要概念被自动加粗。使用者通读一遍确认无逻辑错误后直接存入知识库。</w:t>
      </w:r>
    </w:p>
    <w:p>
      <w:r>
        <w:rPr>
          <w:rFonts w:ascii="宋体" w:hAnsi="宋体"/>
          <w:sz w:val="24"/>
        </w:rPr>
        <w:t>SAC（Soft Actor-Critic）论文解析以类似方式完成：从散乱笔记到结构化解析文档，包含算法核心思想、公式推导路径、与其他 RL 算法（DDPG、TD3、PPO）的横向对比表、适用场景分析。AI 在整理过程中自动补充了 SAC 的最大熵框架与传统 RL 目标函数的差异对比，这是原始笔记中未涉及但有助于理解算法本质的内容。</w:t>
      </w:r>
    </w:p>
    <w:p>
      <w:pPr>
        <w:pStyle w:val="Heading3"/>
      </w:pPr>
      <w:r>
        <w:t>5.4 学术汇报与论文产出</w:t>
      </w:r>
    </w:p>
    <w:p>
      <w:r>
        <w:rPr>
          <w:rFonts w:ascii="宋体" w:hAnsi="宋体"/>
          <w:sz w:val="24"/>
        </w:rPr>
        <w:t>在组会汇报场景中，所有数据可视化图表均由 AI 生成。使用者仅需指定核心信息——如"这张图展示 CALCE 数据集中某电池的容量衰减趋势，重点突出拐点位置"——AI 即生成符合汇报场景的图表，风格简洁、信息突出、字号适配投影环境。组会汇报图的优化路径与论文插图存在系统性差异——更强调远距离可读性（字号更大、对比度更高）和单一信息的突出性（减少干扰元素）。</w:t>
      </w:r>
    </w:p>
    <w:p>
      <w:r>
        <w:rPr>
          <w:rFonts w:ascii="宋体" w:hAnsi="宋体"/>
          <w:sz w:val="24"/>
        </w:rPr>
        <w:t>论文插图的精细优化则遵循另一条路径：从 matplotlib 的基础默认样式出图，经多轮 Vibe Coding 迭代后达到特定期刊投稿标准的精修图。优化维度涵盖配色方案、字体族与字号体系、标注样式、图例布局、网格线与坐标轴样式、多图统一性与排版对齐、输出分辨率与文件格式。同一张图从"初始版本"到"可发表版本"之间的差距，完全通过自然语言交互弥合，不涉及任何图形软件的后期手动编辑。</w:t>
      </w:r>
    </w:p>
    <w:p/>
    <w:p>
      <w:pPr>
        <w:pStyle w:val="Heading2"/>
      </w:pPr>
      <w:r>
        <w:t>六、个人工作习惯的深度分析</w:t>
      </w:r>
    </w:p>
    <w:p>
      <w:pPr>
        <w:pStyle w:val="Heading3"/>
      </w:pPr>
      <w:r>
        <w:t>习惯一：严格的结果导向</w:t>
      </w:r>
    </w:p>
    <w:p>
      <w:r>
        <w:rPr>
          <w:rFonts w:ascii="宋体" w:hAnsi="宋体"/>
          <w:sz w:val="24"/>
        </w:rPr>
        <w:t>对 AI 所采用的技术方案保持有意的无感知状态——不询问、不审查、不评判、不对比。有一个亲身经历的细节能很好地说明这一点：同一任务（绘制容量衰减曲线）在迭代过程中，AI 悄然从 matplotlib 切换至 seaborn（更换了更美观的默认样式），而我在相当长的时间内完全未察觉。因为两次交付的图表在视觉效果上均满足要求，而"用了什么库"对"图表好不好看"的评判没有影响。</w:t>
      </w:r>
    </w:p>
    <w:p>
      <w:r>
        <w:rPr>
          <w:rFonts w:ascii="宋体" w:hAnsi="宋体"/>
          <w:sz w:val="24"/>
        </w:rPr>
        <w:t>与程序员出身的使用者相比，这一习惯的形成机制值得分析：后者在面对代码时天然会产生"技术审查冲动"——为什么用 for 循环而不是向量化？为什么选择这个数据结构？代码能否更简洁？——这种冲动源于其专业训练中形成的"代码质量等于安全感"的心智模型。而非技术背景的使用者没有这一心智锚点，因而能够更彻底地切换到"纯结果导向"的验收模式。支撑这一习惯的底层逻辑十分简洁：对于此类使用者而言，唯一的交付物质量度量维度是可感知的输出质量（图表美观度、数据准确性、文档可读性），代码本身的质量不在度量框架内，因此不投入任何注意力资源。</w:t>
      </w:r>
    </w:p>
    <w:p>
      <w:pPr>
        <w:pStyle w:val="Heading3"/>
      </w:pPr>
      <w:r>
        <w:t>习惯二：以感知性描述体系驱动反馈</w:t>
      </w:r>
    </w:p>
    <w:p>
      <w:r>
        <w:rPr>
          <w:rFonts w:ascii="宋体" w:hAnsi="宋体"/>
          <w:sz w:val="24"/>
        </w:rPr>
        <w:t>反馈语言中充斥着无法被精确操作的感知性词汇——"高级一点""干净一点""协调一些""更有质感""一目了然"。这些词汇在传统人-人协作中会因歧义过大而失效，但在人-AI 协作中却构成了异常有效的反馈信号。其工作机制为：使用者用感知词描述期望方向（如"更学术"），AI 在其训练数据分布中搜索与该感知词关联的视觉/文本/结构特征集合——例如"学术"对应的衬线字体、低饱和色板、无冗余装饰、对称布局、严谨的标注体系——然后在这些特征方向上对当前输出施加调整，生成新版本。使用者审视新版本后判断调整方向是否正确、幅度是否足够：若方向正确但幅度不足，给予"再学术一点"的追加反馈；若方向错误，给予"不是这种感觉，换一种学术风格"的纠偏反馈。通常经两到三轮调整后，AI 即可基本掌握使用者的审美倾向。</w:t>
      </w:r>
    </w:p>
    <w:p>
      <w:r>
        <w:rPr>
          <w:rFonts w:ascii="宋体" w:hAnsi="宋体"/>
          <w:sz w:val="24"/>
        </w:rPr>
        <w:t>此机制之所以有效，根本原因在于 AI 在预训练阶段已内化了"学术风格""高级感""简洁干净"等抽象概念与具体视觉/文本特征之间的映射关系。AI 并非在解译使用者的个人定义，而是在调用其训练数据中凝结的人类共性审美标准。这一习惯的深层成因与使用者的身份定位高度相关：作为电池方向的科研人员，核心竞争力在于电池机理理解、实验方案设计与学术论文写作，这一切都不依赖编程能力。Vibe Coding 作为一种"编程能力的外包机制"，将精力从技术实现中释放，而感知性描述驱动则是该外包机制的最小化投入接口——它允许使用者用自己最熟悉、最自然的表达方式（感觉描述）来操作自己不熟悉的领域（代码生成）。</w:t>
      </w:r>
    </w:p>
    <w:p>
      <w:pPr>
        <w:pStyle w:val="Heading3"/>
      </w:pPr>
      <w:r>
        <w:t>习惯三：短反馈、快循环、逐轮收敛</w:t>
      </w:r>
    </w:p>
    <w:p>
      <w:r>
        <w:rPr>
          <w:rFonts w:ascii="宋体" w:hAnsi="宋体"/>
          <w:sz w:val="24"/>
        </w:rPr>
        <w:t>很少在一次交互中列出全部需求。典型的协作节奏分为四个阶段：宏观启动阶段用一轮提出粗略的整体需求，AI 交付包含全部核心功能的初版；微观修正阶段用三到六轮逐一提出单项修改，每轮只改一个维度，避免多个修改指令交叠导致交互失控；宏观审视阶段用一到两轮进行整体性审视，提出少量全局性调整（如整体色板统一、字体一致化）；终版确认阶段用一轮确认全部需求均已满足，流程结束。</w:t>
      </w:r>
    </w:p>
    <w:p>
      <w:r>
        <w:rPr>
          <w:rFonts w:ascii="宋体" w:hAnsi="宋体"/>
          <w:sz w:val="24"/>
        </w:rPr>
        <w:t>此模式的效率优势体现在多个层面：每轮 AI 只需响应一个明确的、范围有限的修改请求，无需在多目标之间平衡取舍，修改的精确性高；使用者不需要在脑海中同时维护一个修改清单，只需在当前图的当前状态下找出最不满意的一个点，大幅降低了审视的认知消耗；任何一轮之后都可以暂停流程、记录当前状态下次继续，对科研工作被频繁打断的节奏非常友好；每轮修改的效果立即可见，不会出现"提出十条修改要求后 AI 交出一个和预期完全不同的东西"的情况。有一个量化参照能直观反映这一模式的投入产出比——Knee-point 项目拐点预测可视化部分的完整交互记录显示，总计约 15 轮对话，每轮使用者输入平均长度 12 个中文字符，总输入约 180 字，而同期 AI 的输出总量（含代码、图表、解释文本）超过 8000 字，投入产出比按文本量计约为 1 比 44。</w:t>
      </w:r>
    </w:p>
    <w:p>
      <w:pPr>
        <w:pStyle w:val="Heading3"/>
      </w:pPr>
      <w:r>
        <w:t>习惯四：代码视为消耗品而非资产</w:t>
      </w:r>
    </w:p>
    <w:p>
      <w:r>
        <w:rPr>
          <w:rFonts w:ascii="宋体" w:hAnsi="宋体"/>
          <w:sz w:val="24"/>
        </w:rPr>
        <w:t>传统软件工程的代码观将代码定位为需要长期维护的资产，围绕这一认知建立了整套工程实践——清晰的命名、充分的注释、规范的架构、完整的测试套件、CI/CD 管线、版本控制策略——每一项的目标都是降低"未来某时刻需要修改或理解这段代码"的边际成本。而本文所描述的实践模式中，代码被重新定位为满足当前需求的消耗品：在当前时刻能正确运行并产出符合预期的结果，使命即告完成；未来需要修改时，不会尝试去理解旧代码，而是启动一个新的 Vibe Coding 流程，把当前需求（含修改）重新描述一遍，由 AI 重新生成。</w:t>
      </w:r>
    </w:p>
    <w:p>
      <w:r>
        <w:rPr>
          <w:rFonts w:ascii="宋体" w:hAnsi="宋体"/>
          <w:sz w:val="24"/>
        </w:rPr>
        <w:t>此定位成立需要三个条件同时满足：AI 代码生成速度远大于人类代码理解速度（已验证，前者以秒计，后者以小时甚至天计）；重新生成的精确度不低于手工修改旧代码的精确度（已验证，AI 对自身生成风格的把握优于对陌生代码的修改能力）；使用者不具备也不计划习得代码理解能力（作为非技术背景研究人员，此条件恒成立）。消耗品定位产生三条直接推论：不要求 AI 写注释或文档（除复现所必需的 README 外），因为注释的使用者是人而这段代码没有人类读者；不要求代码结构可扩展，因为没有"未来逐步迭代"的需求，未来需求由未来 AI 重新生成；不要求代码通用化，只为当前具体任务定制，不预留切换接口。与此形成鲜明对照的是，使用者重视积累的并非代码而是领域知识——不同电池数据集的特征差异、各机器学习模型在电池拐点预测上的适用性边界、可视化审美标准等。这些知识沉淀于大脑中可无限复用，且不因技术栈更迭而贬值。</w:t>
      </w:r>
    </w:p>
    <w:p>
      <w:pPr>
        <w:pStyle w:val="Heading3"/>
      </w:pPr>
      <w:r>
        <w:t>习惯五：渐进式放权——从验证性介入到完全信任</w:t>
      </w:r>
    </w:p>
    <w:p>
      <w:r>
        <w:rPr>
          <w:rFonts w:ascii="宋体" w:hAnsi="宋体"/>
          <w:sz w:val="24"/>
        </w:rPr>
        <w:t>回顾完整的使用历程（约 2025 年底至今），与 AI 的信任关系经历了三个明显的演化阶段。第一阶段为验证期——初次使用 AI 编程时天然存在不信任感，典型行为包括要求 AI 解释每一步的逻辑、逐行确认代码含义、手动对比 AI 生成的多个方案，本质是将 AI 视为"需要监督的实习生"。第二阶段为过渡期——随着多次验证确认 AI 的输出质量，逐步缩减监督范围，从"每行都看"过渡到"只看关键逻辑"再过渡到"只看运行结果"。第三阶段为当前状态即完全放权——信任模式简化为"输入需求 → 等待 → 验收输出"，中间过程完全黑箱化，判断标准从"代码对不对"转变为"结果好不好用"。</w:t>
      </w:r>
    </w:p>
    <w:p>
      <w:r>
        <w:rPr>
          <w:rFonts w:ascii="宋体" w:hAnsi="宋体"/>
          <w:sz w:val="24"/>
        </w:rPr>
        <w:t>推动这一演化路径的认知转折共有四个：理解代码细节的时间成本远超其产生的收益（与其花 30 分钟理解 AI 写了什么，不如花 5 分钟看结果是否满足需求）；使用者的领域专业知识足以在结果层面做出正确甄别（数据是否合理、图表逻辑是否正确），而不需要在代码层面验证；AI 的自我纠错能力——自主发现 bug、自主修复——在统计意义上优于使用者的介入式调试，因为使用者缺乏代码层面的诊断能力；让 AI 自主决策与执行所获得的效率增益，远超因放弃监督而偶尔产生的质量问题带来的损失。</w:t>
      </w:r>
    </w:p>
    <w:p/>
    <w:p>
      <w:pPr>
        <w:pStyle w:val="Heading2"/>
      </w:pPr>
      <w:r>
        <w:t>七、实践中的经验教训与改进策略</w:t>
      </w:r>
    </w:p>
    <w:p>
      <w:r>
        <w:rPr>
          <w:rFonts w:ascii="宋体" w:hAnsi="宋体"/>
          <w:b/>
          <w:sz w:val="24"/>
        </w:rPr>
        <w:t>教训一：初始需求过于宽泛导致方向偏差。</w:t>
      </w:r>
      <w:r>
        <w:rPr>
          <w:rFonts w:ascii="宋体" w:hAnsi="宋体"/>
          <w:sz w:val="24"/>
        </w:rPr>
        <w:t xml:space="preserve"> 早期实践中最常见的失败模式是给出极宽泛的需求，例如"帮我做个电池数据分析"。AI 面对此类需求时，只能从训练数据中最常见的"电池数据分析"对应物出发进行生成——可能是绘制容量衰减曲线，可能是统计分析循环数据，可能是计算 SOH 分布——最终交付物与使用者脑海中的预期往往大相径庭。根源在于"电池数据分析"是一个高度多义的自然语言短语，在技术空间中对应数十种不同的操作路径，而 AI 在 Vibe Coding 的"全权执行"预设下倾向于直接行动而非交互澄清，因此会选择一个最常见的路径直接执行。改进策略是将初始需求从模糊的整体描述拆分为三个构成要素的简短组合：处理对象（哪个数据集、哪个文件、哪个电池编号）、期望产出（图、表、脚本还是文档）以及风格取向（如"简洁学术风格"）。例如"分析 CALCE 数据集中 CS2_35 电池的容量衰减趋势，绘制容量-循环数曲线，简洁学术风格"——约 30 个字，方向偏差风险显著降低。</w:t>
      </w:r>
    </w:p>
    <w:p>
      <w:r>
        <w:rPr>
          <w:rFonts w:ascii="宋体" w:hAnsi="宋体"/>
          <w:b/>
          <w:sz w:val="24"/>
        </w:rPr>
        <w:t>教训二：多轮迭代后出现功能回退。</w:t>
      </w:r>
      <w:r>
        <w:rPr>
          <w:rFonts w:ascii="宋体" w:hAnsi="宋体"/>
          <w:sz w:val="24"/>
        </w:rPr>
        <w:t xml:space="preserve"> 在多轮迭代修改的中后期，曾数次出现 AI 在完成某个修改请求时意外覆盖了之前已经调整妥当的部分——例如修改配色方案后，此前已精细调整过的坐标轴标注样式回退为默认值。根源在于每次迭代中 AI 重新生成代码时，并非严格"仅修改指定部分"，而是倾向于重写涉及的函数或段落，可能导致相邻代码被新的默认写法覆盖。此行为在传统编程中可以通过 diff 审查和选择性合入来控制，但在"不审查代码"的 Vibe Coding 模式下不可见。改进策略包括两个方面：版本留存（当某个阶段的交付物已达到重要满意节点时，要求 AI 将当前版本保存为独立文件，如 figure_v2_satisfied.py，后续迭代基于此存档版本进行）和修改范围限定（在修改指令中增加约束，如"只修改配色，不要改动标注、图例和坐标轴样式"，减少 AI 的修改波及面）。</w:t>
      </w:r>
    </w:p>
    <w:p>
      <w:r>
        <w:rPr>
          <w:rFonts w:ascii="宋体" w:hAnsi="宋体"/>
          <w:b/>
          <w:sz w:val="24"/>
        </w:rPr>
        <w:t>教训三：完全脱离代码导致实验不可复现。</w:t>
      </w:r>
      <w:r>
        <w:rPr>
          <w:rFonts w:ascii="宋体" w:hAnsi="宋体"/>
          <w:sz w:val="24"/>
        </w:rPr>
        <w:t xml:space="preserve"> 某次实验完成约一个月后需要复现其中一组结果时，发现完全不记得 AI 生成代码所依赖的 Python 环境配置——库版本、虚拟环境名称、特定依赖包——代码无法运行。根源在于 Vibe Coding 的使用者天然不关注技术依赖信息，因为"安装依赖"本身也是 AI 负责的操作，导致这类信息在项目结束时未被固化。改进策略是在项目收尾阶段加入一个极小成本的复现保障动作：要求 AI 生成 README，明确记载 Python 版本、依赖库列表（含版本号）和运行指令。此项操作耗时约 30 秒，但提供了充足的复现信息。关键在于不要求使用者自己去整理这些信息，而是让 AI 在生成代码的同时自动生成配套的环境说明文档。</w:t>
      </w:r>
    </w:p>
    <w:p>
      <w:r>
        <w:rPr>
          <w:rFonts w:ascii="宋体" w:hAnsi="宋体"/>
          <w:b/>
          <w:sz w:val="24"/>
        </w:rPr>
        <w:t>教训四：任务范围膨胀导致交付物混杂。</w:t>
      </w:r>
      <w:r>
        <w:rPr>
          <w:rFonts w:ascii="宋体" w:hAnsi="宋体"/>
          <w:sz w:val="24"/>
        </w:rPr>
        <w:t xml:space="preserve"> 在一个 Vibe Coding 会话中，有时会因为"顺便改一下"的冲动而不断追加新需求，导致原本简单的一次性任务逐渐膨胀为涵盖数据处理、建模、多组可视化、格式转换等多个不相关任务的巨型会话，交付物混杂在一起，后期难以定位和复用。改进策略形成了三条规则：一个会话一个任务——每次 Vibe Coding 对话聚焦于一个明确的任务目标；新需求另启对话——若在任务 A 的过程中产生了任务 B 的想法，等任务 A 完成后再开启独立新会话；交付物命名规范——每个会话的交付物使用描述性文件名，便于后续检索。</w:t>
      </w:r>
    </w:p>
    <w:p>
      <w:r>
        <w:rPr>
          <w:rFonts w:ascii="宋体" w:hAnsi="宋体"/>
          <w:b/>
          <w:sz w:val="24"/>
        </w:rPr>
        <w:t>教训五：过度压缩需求表述反而降低效率。</w:t>
      </w:r>
      <w:r>
        <w:rPr>
          <w:rFonts w:ascii="宋体" w:hAnsi="宋体"/>
          <w:sz w:val="24"/>
        </w:rPr>
        <w:t xml:space="preserve"> 在熟练掌握 Vibe Coding 后一度走向"需求越短越好"的极端，将需求压缩至"画个图""分析一下"等极简表述。结果 AI 交付的初版与预期偏差巨大，需要更多轮迭代来纠正方向，总耗时反而增加。改进的认知是：需求表述存在一个效率最优长度——过短导致方向不明需要多轮纠正，过长变得像传统需求文档写作一样耗时——最优长度为恰好覆盖三项要素（处理对象、期望产出、风格取向）的一句话，通常 15 到 40 个字。</w:t>
      </w:r>
    </w:p>
    <w:p/>
    <w:p>
      <w:pPr>
        <w:pStyle w:val="Heading2"/>
      </w:pPr>
      <w:r>
        <w:t>八、对 Vibe Coding 的系统性反思</w:t>
      </w:r>
    </w:p>
    <w:p>
      <w:pPr>
        <w:pStyle w:val="Heading3"/>
      </w:pPr>
      <w:r>
        <w:t>8.1 采用前后的工作方式对比</w:t>
      </w:r>
    </w:p>
    <w:tbl>
      <w:tblPr>
        <w:tblStyle w:val="LightGrid-Accent1"/>
        <w:tblW w:type="auto" w:w="0"/>
        <w:tblLayout w:type="autofit"/>
        <w:tblLook w:firstColumn="1" w:firstRow="1" w:lastColumn="0" w:lastRow="0" w:noHBand="0" w:noVBand="1" w:val="04A0"/>
      </w:tblPr>
      <w:tblGrid>
        <w:gridCol w:w="2878"/>
        <w:gridCol w:w="2878"/>
        <w:gridCol w:w="2878"/>
      </w:tblGrid>
      <w:tr>
        <w:tc>
          <w:tcPr>
            <w:tcW w:type="dxa" w:w="2878"/>
          </w:tcPr>
          <w:p>
            <w:pPr>
              <w:spacing w:after="40" w:before="40"/>
            </w:pPr>
            <w:r/>
            <w:r>
              <w:rPr>
                <w:rFonts w:ascii="宋体" w:hAnsi="宋体"/>
                <w:b/>
                <w:sz w:val="20"/>
              </w:rPr>
              <w:t>维度</w:t>
            </w:r>
          </w:p>
        </w:tc>
        <w:tc>
          <w:tcPr>
            <w:tcW w:type="dxa" w:w="2878"/>
          </w:tcPr>
          <w:p>
            <w:pPr>
              <w:spacing w:after="40" w:before="40"/>
            </w:pPr>
            <w:r/>
            <w:r>
              <w:rPr>
                <w:rFonts w:ascii="宋体" w:hAnsi="宋体"/>
                <w:b/>
                <w:sz w:val="20"/>
              </w:rPr>
              <w:t>采用 Vibe Coding 前</w:t>
            </w:r>
          </w:p>
        </w:tc>
        <w:tc>
          <w:tcPr>
            <w:tcW w:type="dxa" w:w="2878"/>
          </w:tcPr>
          <w:p>
            <w:pPr>
              <w:spacing w:after="40" w:before="40"/>
            </w:pPr>
            <w:r/>
            <w:r>
              <w:rPr>
                <w:rFonts w:ascii="宋体" w:hAnsi="宋体"/>
                <w:b/>
                <w:sz w:val="20"/>
              </w:rPr>
              <w:t>采用 Vibe Coding 后</w:t>
            </w:r>
          </w:p>
        </w:tc>
      </w:tr>
      <w:tr>
        <w:tc>
          <w:tcPr>
            <w:tcW w:type="dxa" w:w="2878"/>
          </w:tcPr>
          <w:p>
            <w:pPr>
              <w:spacing w:after="40" w:before="40"/>
            </w:pPr>
            <w:r/>
            <w:r>
              <w:rPr>
                <w:rFonts w:ascii="宋体" w:hAnsi="宋体"/>
                <w:sz w:val="20"/>
              </w:rPr>
              <w:t>编程能力门槛</w:t>
            </w:r>
          </w:p>
        </w:tc>
        <w:tc>
          <w:tcPr>
            <w:tcW w:type="dxa" w:w="2878"/>
          </w:tcPr>
          <w:p>
            <w:pPr>
              <w:spacing w:after="40" w:before="40"/>
            </w:pPr>
            <w:r/>
            <w:r>
              <w:rPr>
                <w:rFonts w:ascii="宋体" w:hAnsi="宋体"/>
                <w:sz w:val="20"/>
              </w:rPr>
              <w:t>需要学习 Python 基础语法、pandas、matplotlib 等</w:t>
            </w:r>
          </w:p>
        </w:tc>
        <w:tc>
          <w:tcPr>
            <w:tcW w:type="dxa" w:w="2878"/>
          </w:tcPr>
          <w:p>
            <w:pPr>
              <w:spacing w:after="40" w:before="40"/>
            </w:pPr>
            <w:r/>
            <w:r>
              <w:rPr>
                <w:rFonts w:ascii="宋体" w:hAnsi="宋体"/>
                <w:sz w:val="20"/>
              </w:rPr>
              <w:t>不需要任何编程知识</w:t>
            </w:r>
          </w:p>
        </w:tc>
      </w:tr>
      <w:tr>
        <w:tc>
          <w:tcPr>
            <w:tcW w:type="dxa" w:w="2878"/>
          </w:tcPr>
          <w:p>
            <w:pPr>
              <w:spacing w:after="40" w:before="40"/>
            </w:pPr>
            <w:r/>
            <w:r>
              <w:rPr>
                <w:rFonts w:ascii="宋体" w:hAnsi="宋体"/>
                <w:sz w:val="20"/>
              </w:rPr>
              <w:t>数据分析耗时</w:t>
            </w:r>
          </w:p>
        </w:tc>
        <w:tc>
          <w:tcPr>
            <w:tcW w:type="dxa" w:w="2878"/>
          </w:tcPr>
          <w:p>
            <w:pPr>
              <w:spacing w:after="40" w:before="40"/>
            </w:pPr>
            <w:r/>
            <w:r>
              <w:rPr>
                <w:rFonts w:ascii="宋体" w:hAnsi="宋体"/>
                <w:sz w:val="20"/>
              </w:rPr>
              <w:t>数天至数周（含学习 + 编码 + 调试）</w:t>
            </w:r>
          </w:p>
        </w:tc>
        <w:tc>
          <w:tcPr>
            <w:tcW w:type="dxa" w:w="2878"/>
          </w:tcPr>
          <w:p>
            <w:pPr>
              <w:spacing w:after="40" w:before="40"/>
            </w:pPr>
            <w:r/>
            <w:r>
              <w:rPr>
                <w:rFonts w:ascii="宋体" w:hAnsi="宋体"/>
                <w:sz w:val="20"/>
              </w:rPr>
              <w:t>数分钟至数小时（含需求描述 + 迭代修改）</w:t>
            </w:r>
          </w:p>
        </w:tc>
      </w:tr>
      <w:tr>
        <w:tc>
          <w:tcPr>
            <w:tcW w:type="dxa" w:w="2878"/>
          </w:tcPr>
          <w:p>
            <w:pPr>
              <w:spacing w:after="40" w:before="40"/>
            </w:pPr>
            <w:r/>
            <w:r>
              <w:rPr>
                <w:rFonts w:ascii="宋体" w:hAnsi="宋体"/>
                <w:sz w:val="20"/>
              </w:rPr>
              <w:t>代码审查方式</w:t>
            </w:r>
          </w:p>
        </w:tc>
        <w:tc>
          <w:tcPr>
            <w:tcW w:type="dxa" w:w="2878"/>
          </w:tcPr>
          <w:p>
            <w:pPr>
              <w:spacing w:after="40" w:before="40"/>
            </w:pPr>
            <w:r/>
            <w:r>
              <w:rPr>
                <w:rFonts w:ascii="宋体" w:hAnsi="宋体"/>
                <w:sz w:val="20"/>
              </w:rPr>
              <w:t>逐行阅读、调试、验证</w:t>
            </w:r>
          </w:p>
        </w:tc>
        <w:tc>
          <w:tcPr>
            <w:tcW w:type="dxa" w:w="2878"/>
          </w:tcPr>
          <w:p>
            <w:pPr>
              <w:spacing w:after="40" w:before="40"/>
            </w:pPr>
            <w:r/>
            <w:r>
              <w:rPr>
                <w:rFonts w:ascii="宋体" w:hAnsi="宋体"/>
                <w:sz w:val="20"/>
              </w:rPr>
              <w:t>仅审查输出结果的可感知质量</w:t>
            </w:r>
          </w:p>
        </w:tc>
      </w:tr>
      <w:tr>
        <w:tc>
          <w:tcPr>
            <w:tcW w:type="dxa" w:w="2878"/>
          </w:tcPr>
          <w:p>
            <w:pPr>
              <w:spacing w:after="40" w:before="40"/>
            </w:pPr>
            <w:r/>
            <w:r>
              <w:rPr>
                <w:rFonts w:ascii="宋体" w:hAnsi="宋体"/>
                <w:sz w:val="20"/>
              </w:rPr>
              <w:t>修改成本</w:t>
            </w:r>
          </w:p>
        </w:tc>
        <w:tc>
          <w:tcPr>
            <w:tcW w:type="dxa" w:w="2878"/>
          </w:tcPr>
          <w:p>
            <w:pPr>
              <w:spacing w:after="40" w:before="40"/>
            </w:pPr>
            <w:r/>
            <w:r>
              <w:rPr>
                <w:rFonts w:ascii="宋体" w:hAnsi="宋体"/>
                <w:sz w:val="20"/>
              </w:rPr>
              <w:t>需理解现有代码逻辑后手动修改</w:t>
            </w:r>
          </w:p>
        </w:tc>
        <w:tc>
          <w:tcPr>
            <w:tcW w:type="dxa" w:w="2878"/>
          </w:tcPr>
          <w:p>
            <w:pPr>
              <w:spacing w:after="40" w:before="40"/>
            </w:pPr>
            <w:r/>
            <w:r>
              <w:rPr>
                <w:rFonts w:ascii="宋体" w:hAnsi="宋体"/>
                <w:sz w:val="20"/>
              </w:rPr>
              <w:t>一句自然语言指令</w:t>
            </w:r>
          </w:p>
        </w:tc>
      </w:tr>
      <w:tr>
        <w:tc>
          <w:tcPr>
            <w:tcW w:type="dxa" w:w="2878"/>
          </w:tcPr>
          <w:p>
            <w:pPr>
              <w:spacing w:after="40" w:before="40"/>
            </w:pPr>
            <w:r/>
            <w:r>
              <w:rPr>
                <w:rFonts w:ascii="宋体" w:hAnsi="宋体"/>
                <w:sz w:val="20"/>
              </w:rPr>
              <w:t>能力建设方向</w:t>
            </w:r>
          </w:p>
        </w:tc>
        <w:tc>
          <w:tcPr>
            <w:tcW w:type="dxa" w:w="2878"/>
          </w:tcPr>
          <w:p>
            <w:pPr>
              <w:spacing w:after="40" w:before="40"/>
            </w:pPr>
            <w:r/>
            <w:r>
              <w:rPr>
                <w:rFonts w:ascii="宋体" w:hAnsi="宋体"/>
                <w:sz w:val="20"/>
              </w:rPr>
              <w:t>在编程技能上持续投入学习时间</w:t>
            </w:r>
          </w:p>
        </w:tc>
        <w:tc>
          <w:tcPr>
            <w:tcW w:type="dxa" w:w="2878"/>
          </w:tcPr>
          <w:p>
            <w:pPr>
              <w:spacing w:after="40" w:before="40"/>
            </w:pPr>
            <w:r/>
            <w:r>
              <w:rPr>
                <w:rFonts w:ascii="宋体" w:hAnsi="宋体"/>
                <w:sz w:val="20"/>
              </w:rPr>
              <w:t>将节省的时间投入领域研究</w:t>
            </w:r>
          </w:p>
        </w:tc>
      </w:tr>
      <w:tr>
        <w:tc>
          <w:tcPr>
            <w:tcW w:type="dxa" w:w="2878"/>
          </w:tcPr>
          <w:p>
            <w:pPr>
              <w:spacing w:after="40" w:before="40"/>
            </w:pPr>
            <w:r/>
            <w:r>
              <w:rPr>
                <w:rFonts w:ascii="宋体" w:hAnsi="宋体"/>
                <w:sz w:val="20"/>
              </w:rPr>
              <w:t>可复现性</w:t>
            </w:r>
          </w:p>
        </w:tc>
        <w:tc>
          <w:tcPr>
            <w:tcW w:type="dxa" w:w="2878"/>
          </w:tcPr>
          <w:p>
            <w:pPr>
              <w:spacing w:after="40" w:before="40"/>
            </w:pPr>
            <w:r/>
            <w:r>
              <w:rPr>
                <w:rFonts w:ascii="宋体" w:hAnsi="宋体"/>
                <w:sz w:val="20"/>
              </w:rPr>
              <w:t>依赖代码注释与环境配置文档</w:t>
            </w:r>
          </w:p>
        </w:tc>
        <w:tc>
          <w:tcPr>
            <w:tcW w:type="dxa" w:w="2878"/>
          </w:tcPr>
          <w:p>
            <w:pPr>
              <w:spacing w:after="40" w:before="40"/>
            </w:pPr>
            <w:r/>
            <w:r>
              <w:rPr>
                <w:rFonts w:ascii="宋体" w:hAnsi="宋体"/>
                <w:sz w:val="20"/>
              </w:rPr>
              <w:t>依赖 AI 自动生成的 README</w:t>
            </w:r>
          </w:p>
        </w:tc>
      </w:tr>
    </w:tbl>
    <w:p/>
    <w:p>
      <w:pPr>
        <w:pStyle w:val="Heading3"/>
      </w:pPr>
      <w:r>
        <w:t>8.2 适用范围与当前局限性</w:t>
      </w:r>
    </w:p>
    <w:p>
      <w:r>
        <w:rPr>
          <w:rFonts w:ascii="宋体" w:hAnsi="宋体"/>
          <w:sz w:val="24"/>
        </w:rPr>
        <w:t>Vibe Coding 的最佳适配场景集中在科研数据的一次性处理与分析、原型验证与快速对比实验、学术文档的结构化整理、论文插图的可视化与精修以及批量化的格式转换与文本处理。其当前局限性主要体现在四个方面：需要极高性能优化的底层计算任务（AI 的代码优化程度仍有限制）、有法令合规审计要求的工业级代码（需要审计追溯链）、需要与复杂遗留系统进行深度集成的工程（上下文长度可能超出 AI 处理窗口），以及涉及敏感数据且不允许外传的高安全级别项目。</w:t>
      </w:r>
    </w:p>
    <w:p>
      <w:pPr>
        <w:pStyle w:val="Heading3"/>
      </w:pPr>
      <w:r>
        <w:t>8.3 对科研工作范式的影响</w:t>
      </w:r>
    </w:p>
    <w:p>
      <w:r>
        <w:rPr>
          <w:rFonts w:ascii="宋体" w:hAnsi="宋体"/>
          <w:sz w:val="24"/>
        </w:rPr>
        <w:t>Vibe Coding 在本科研语境中最深远的影响不是效率提升——虽然效率提升确实显著——而是从根本上改变了"研究生的能力版图"。在此之前，一个电池方向的科研人员如果要进行数据分析，几乎必然需要投入大量时间习得编程技能，无论其主攻方向是否需要这些技能。Vibe Coding 打破了这一隐性壁垒：电池机理研究能力与数据分析执行能力不再需要集中在同一个人身上，前者由人承担，后者由 AI 承担。这意味着科研人员可以将更完整的时间与心力投入到其核心竞争力所在的领域——对电池衰减机理的深入理解、对实验方案的巧妙设计、对学术论文的反复打磨——而非被迫分流至工具性技能的学习。这或许就是 Vibe Coding 对非技术背景科研工作者最本质的价值：它让"不会编程"从一项能力短板，变成了一个不再需要被讨论的问题。</w:t>
      </w:r>
    </w:p>
    <w:p/>
    <w:p>
      <w:pPr>
        <w:pStyle w:val="Heading2"/>
      </w:pPr>
      <w:r>
        <w:t>九、总结</w:t>
      </w:r>
    </w:p>
    <w:p>
      <w:r>
        <w:rPr>
          <w:rFonts w:ascii="宋体" w:hAnsi="宋体"/>
          <w:sz w:val="24"/>
        </w:rPr>
        <w:t>Vibe Coding 不是传统编程的"简化版"，而是一种独立的协作范式——使用者负责方向定义与结果裁决，AI 承担全部技术实现。该范式的有效性建立在三项原则之上：不写代码、不关注技术细节、持续反馈直至满意。五步流程——描述需求、AI 自主实现、效果验收、迭代修改、交付使用——在大量科研任务的反复实践中已形成稳定的操作惯性。代码在此范式下的定位发生了根本性转变，从需要长期养护的"资产"变为满足当前需求的"消耗品"。核心工作习惯——结果导向、感知性描述驱动、短反馈快循环、消耗品定位、渐进式放权——共同构成了专属于这一实践者的"Vibe Coding 人格"。</w:t>
      </w:r>
    </w:p>
    <w:p>
      <w:pPr>
        <w:ind w:left="850" w:right="850"/>
      </w:pPr>
      <w:r>
        <w:rPr>
          <w:rFonts w:ascii="楷体" w:hAnsi="楷体"/>
          <w:b w:val="0"/>
          <w:i w:val="0"/>
          <w:color w:val="3C3C3C"/>
          <w:sz w:val="22"/>
        </w:rPr>
        <w:t>使用者负责方向定义与审美判断，AI 负责代码实现与全部技术环节。对话即为开发过程，满意度即为交付标准。</w:t>
      </w:r>
    </w:p>
    <w:p/>
    <w:p>
      <w:r>
        <w:rPr>
          <w:rFonts w:ascii="宋体" w:hAnsi="宋体"/>
          <w:sz w:val="24"/>
        </w:rPr>
        <w:t>*本文档由作者口述核心观点与整体框架，AI 根据长期 Vibe Coding 实践记录（包括对话日志、项目结构、交互历史）分析总结后撰写成文。本文档本身即为 Vibe Coding 的产物。*</w:t>
      </w:r>
    </w:p>
    <w:p/>
    <w:p>
      <w:pPr>
        <w:pStyle w:val="Heading2"/>
      </w:pPr>
      <w:r>
        <w:t>十、后续改进措施</w:t>
      </w:r>
    </w:p>
    <w:p>
      <w:r>
        <w:rPr>
          <w:rFonts w:ascii="宋体" w:hAnsi="宋体"/>
          <w:sz w:val="24"/>
        </w:rPr>
        <w:t>基于前文总结的工作习惯与经验教训，结合当前 AI 编程工具的能力边界，提出以下改进方向，作为未来 Vibe Coding 实践的优化指引。</w:t>
      </w:r>
    </w:p>
    <w:p>
      <w:r>
        <w:rPr>
          <w:rFonts w:ascii="宋体" w:hAnsi="宋体"/>
          <w:b/>
          <w:sz w:val="24"/>
        </w:rPr>
        <w:t>措施一：对复杂任务使用"三段式"初始描述。</w:t>
      </w:r>
      <w:r>
        <w:rPr>
          <w:rFonts w:ascii="宋体" w:hAnsi="宋体"/>
          <w:sz w:val="24"/>
        </w:rPr>
        <w:t xml:space="preserve"> 当前的需求表述范式（处理对象 + 期望产出 + 风格取向）对中等复杂度以下的任务足够有效，但在面对跨数据集、多模型、多输出格式的综合任务时，初始方向的准确率仍有提升空间。建议对于预估复杂度较高的任务，在初始描述中额外补充两个信息：输入数据的特征说明（文件格式、列结构、数据规模）和输出交付物的格式清单（需要哪些文件、各文件的用途），将一句话描述扩展为一段包含任务背景、数据说明、产出清单、风格取向的四要素描述。这不违背 Vibe Coding "不写需求文档"的原则——扩展后的描述仍然控制在三到五句话、几十个字以内——但能显著降低 AI 在首轮因信息不足而选错方向的风险。</w:t>
      </w:r>
    </w:p>
    <w:p>
      <w:r>
        <w:rPr>
          <w:rFonts w:ascii="宋体" w:hAnsi="宋体"/>
          <w:b/>
          <w:sz w:val="24"/>
        </w:rPr>
        <w:t>措施二：建立项目级 CLAUDE.md 作为持久化上下文。</w:t>
      </w:r>
      <w:r>
        <w:rPr>
          <w:rFonts w:ascii="宋体" w:hAnsi="宋体"/>
          <w:sz w:val="24"/>
        </w:rPr>
        <w:t xml:space="preserve"> 目前的 Vibe Coding 实践高度依赖单个会话内的上下文记忆，每个新会话都从零开始，AI 对项目背景、数据路径、个人偏好一无所知。虽然"代码是消耗品"的定位使得单会话内的效率已足够高，但对于需要跨多个会话协作推进的较大项目（如 BatteryGPT），每次重新建立上下文仍然产生了不必要的重复成本。建议在每个项目的根目录维护一份 CLAUDE.md 文件，由 AI 在首次会话结束时自动生成并持续更新，记录项目目标、数据结构、已完成的里程碑、当前的代码文件清单、已确认有效的环境配置和常用的修改偏好。这不是要求使用者手动编写文档，而是利用 AI 的自动归档能力将跨会话的隐性知识显性化，让每个新会话在启动时即具备"已知晓项目全貌"的上下文。</w:t>
      </w:r>
    </w:p>
    <w:p>
      <w:r>
        <w:rPr>
          <w:rFonts w:ascii="宋体" w:hAnsi="宋体"/>
          <w:b/>
          <w:sz w:val="24"/>
        </w:rPr>
        <w:t>措施三：引入关键节点的"人工检查点"机制。</w:t>
      </w:r>
      <w:r>
        <w:rPr>
          <w:rFonts w:ascii="宋体" w:hAnsi="宋体"/>
          <w:sz w:val="24"/>
        </w:rPr>
        <w:t xml:space="preserve"> 当前的流程完全依赖于"全自动执行 + 最终验收"，中间没有任何人工介入点。这在大多数情况下运行良好，但在处理数据敏感任务（如电池循环寿命统计、模型评估指标计算）时，曾出现过因 AI 在一次生成中产生的系统性错误（如错误理解了数据列的物理含义）未被及时发现，到最终验收时才暴露的情况。建议在数据预处理和指标计算两个关键环节设置人工检查点：要求 AI 在完成数据清洗后输出一份简短的"数据摘要报告"（样本量、特征名称、缺失值统计、关键列的数值范围），使用者花十秒确认报告中的数值是否在领域合理区间内，再进入后续建模或可视化阶段。这增加的投入极小（一次浏览 + 一句"没问题继续"），但能拦截因数据理解错误导致的整条输出管线报废。</w:t>
      </w:r>
    </w:p>
    <w:p>
      <w:r>
        <w:rPr>
          <w:rFonts w:ascii="宋体" w:hAnsi="宋体"/>
          <w:b/>
          <w:sz w:val="24"/>
        </w:rPr>
        <w:t>措施四：利用会话标题和标签提升历史检索效率。</w:t>
      </w:r>
      <w:r>
        <w:rPr>
          <w:rFonts w:ascii="宋体" w:hAnsi="宋体"/>
          <w:sz w:val="24"/>
        </w:rPr>
        <w:t xml:space="preserve"> 随着 Vibe Coding 使用频率的增加，历史会话数量快速增长。当前检索"之前那个模型对比脚本是哪次会话生成的"依靠模糊的记忆和逐条翻阅，效率偏低。建议每次会话结束时，用一句话为该会话设定一个描述性标题（如"Knee-point-SVM-RF-XGBoost-LSTM 五折交叉验证模型对比"），并酌情添加一到两个标签（如"建模""可视化""CALCE""论文配图"），在会话记录中形成可快速扫描的索引。当前 AI 编程工具普遍支持会话重命名功能，这项工作耗时约五秒，但能将后续检索的时间从分钟级降至秒级。</w:t>
      </w:r>
    </w:p>
    <w:p>
      <w:r>
        <w:rPr>
          <w:rFonts w:ascii="宋体" w:hAnsi="宋体"/>
          <w:b/>
          <w:sz w:val="24"/>
        </w:rPr>
        <w:t>措施五：定期将高频使用的修改指令沉淀为模板。</w:t>
      </w:r>
      <w:r>
        <w:rPr>
          <w:rFonts w:ascii="宋体" w:hAnsi="宋体"/>
          <w:sz w:val="24"/>
        </w:rPr>
        <w:t xml:space="preserve"> 回顾第七章的修改指令表格，发现部分指令在多个项目中被反复使用——"配色换学术风格""字体统一 Times New Roman 加大一号""导出 300dpi PNG""图例放图外""去右边和上边边框"——几乎出现在每一个可视化项目中。这些高频指令目前每次都需要重新口头描述一遍，虽然每条指令本身极短，但当累积到每项目数十条时，其中约有三分之一属于"每次都说一遍的重复劳动"。建议将这些经过多次验证、效果稳定的可视化美学指令整理为一个简短的个人偏好清单（约十到十五条），在新的可视化项目中直接告知 AI"按照我的可视化偏好清单来设置默认样式"，将重复性的美学微调从"逐项纠正"加速为"一次到位"。</w:t>
      </w:r>
    </w:p>
    <w:p>
      <w:r>
        <w:rPr>
          <w:rFonts w:ascii="宋体" w:hAnsi="宋体"/>
          <w:b/>
          <w:sz w:val="24"/>
        </w:rPr>
        <w:t>措施六：对安全敏感任务采用"双会话验证"策略。</w:t>
      </w:r>
      <w:r>
        <w:rPr>
          <w:rFonts w:ascii="宋体" w:hAnsi="宋体"/>
          <w:sz w:val="24"/>
        </w:rPr>
        <w:t xml:space="preserve"> 对于涉及不可逆操作的任务（如删除大量文件、修改数据库记录、覆盖已有重要数据），单次 Vibe Coding 会话的"信任 AI 全权执行"模式存在不容忽视的风险。建议在这类任务中引入双会话验证机制：在会话 A 中要求 AI 生成操作计划（不实际执行），将该计划复制到会话 B 中要求另一个独立会话的 AI 审查其安全性与合理性，确认无误后再回到会话 A 执行。这利用了不同会话中 AI 独立推理的冗余性来降低单次误判风险，为高风险操作增加了一道低成本的安全屏障。</w:t>
      </w:r>
    </w:p>
    <w:p/>
    <w:p>
      <w:r>
        <w:rPr>
          <w:rFonts w:ascii="宋体" w:hAnsi="宋体"/>
          <w:sz w:val="24"/>
        </w:rPr>
        <w:t>*（续）本文档将持续随实践迭代更新。上述改进措施中，部分已在小范围实验中验证有效，部分尚待长期实践的检验。Vibe Coding 本身是一个仍在快速演化的协作范式，其最佳实践同样处于动态迭代之中。*</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黑体" w:hAnsi="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