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t>1.</w:t>
        <w:tab/>
        <w:t>ศึกษาและพัฒนาโครงสร้างการคำนวณระบบไฟฟ้ากำลังที่เชื่อมโยงการคำนวณการไหลของกำลัง (PF) และการจำลองในโดเมนเวลา (TS) ภายใต้แบบจำลองเดียวกัน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t>3.</w:t>
        <w:tab/>
        <w:t>พัฒนาตัวกำกับอัตโนมัติ (Supervisor) สำหรับสั่งเปลี่ยนโหมดระหว่าง GFL และ GFM ตามสภาวะของระบบ และกำหนดการถ่ายโอนสถานะขณะเปลี่ยนโหมด</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t>แหล่งพลังงานที่เชื่อมต่อผ่านอินเวอร์เตอร์ (IBR) มีบทบาทเพิ่มขึ้นอย่างต่อเนื่องในระบบไฟฟ้ากำลัง การทำงานในโหมด Grid-Following (GFL) ต้องอาศัยแรงดันและมุมเฟสของโครงข่ายเป็นสัญญาณอ้างอิงผ่านวงจร Phase-Locked Loop (PLL) ขณะที่โหมด Grid-Forming (GFM) สามารถกำหนดขนาดแรงดันและมุมอ้างอิงได้เอง จึงมีความสำคัญต่อการรักษาเสถียรภาพเมื่อระบบสูญเสียเครื่องกำเนิดไฟฟ้าซิงโครนัส [1]–[4]</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กรณีศึกษาถูกออกแบบเพื่อทดสอบการตอบสนองต่อการสูญเสีย SG ที่บัส 1 การเกิดฟอลต์ที่บัส 9 และการต่อคืน SG กลับเข้าระบบ เพื่อแสดงให้เห็นความจำเป็นของการเปลี่ยนบทบาทของ IBR ในการรักษาเสถียรภาพแรงดันและมุมอ้างอิงของโครงข่าย</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t>อัตราการสลายของรากที่ช้าที่สุดของชุดอุปกรณ์ GFM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r>
              <w:t>ตัวจำกัดขนาดกระแสอ้างอิงแบบวงกลม (Circular Current Reference Limiter)</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t>2. โครงสร้างและขั้นตอนการคำนวณ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 = f(x, y, u, m(t), t),      0 = g(x, y, u, m(t), t) = Y_net(t)V - I_bus(x, V, m(t))</m:t>
                    </m:r>
                  </m:e>
                </m:acc>
                <m:r>
                  <w:rPr>
                    <w:rFonts w:ascii="Cambria Math" w:hAnsi="Cambria Math"/>
                    <w:sz w:val="24"/>
                    <w:szCs w:val="24"/>
                  </w:rPr>
                  <m:t/>
                </m:r>
                <m:r>
                  <m:rPr>
                    <m:sty m:val="p"/>
                  </m:rPr>
                  <w:rPr>
                    <w:rFonts w:ascii="Cambria Math" w:hAnsi="Cambria Math"/>
                    <w:sz w:val="24"/>
                    <w:szCs w:val="24"/>
                  </w:rPr>
                  <m:t/>
                </m:r>
                <m:r>
                  <w:rPr>
                    <w:rFonts w:ascii="Cambria Math" w:hAnsi="Cambria Math"/>
                    <w:sz w:val="24"/>
                    <w:szCs w:val="24"/>
                  </w:rPr>
                  <m:t/>
                </m:r>
                <m:sSub>
                  <m:sSubPr>
                    <m:ctrlPr>
                      <w:rPr>
                        <w:rFonts w:ascii="Cambria Math" w:hAnsi="Cambria Math"/>
                        <w:sz w:val="24"/>
                        <w:szCs w:val="24"/>
                      </w:rPr>
                    </m:ctrlPr>
                  </m:sSubPr>
                  <m:e>
                    <m:r>
                      <w:rPr>
                        <w:rFonts w:ascii="Cambria Math" w:hAnsi="Cambria Math"/>
                        <w:sz w:val="24"/>
                        <w:szCs w:val="24"/>
                      </w:rPr>
                      <m:t/>
                    </m:r>
                  </m:e>
                  <m:sub>
                    <m:r>
                      <m:rPr>
                        <m:sty m:val="p"/>
                      </m:rPr>
                      <w:rPr>
                        <w:rFonts w:ascii="Cambria Math" w:hAnsi="Cambria Math"/>
                        <w:sz w:val="24"/>
                        <w:szCs w:val="24"/>
                      </w:rPr>
                      <m:t/>
                    </m:r>
                  </m:sub>
                </m:sSub>
                <m:r>
                  <w:rPr>
                    <w:rFonts w:ascii="Cambria Math" w:hAnsi="Cambria Math"/>
                    <w:sz w:val="24"/>
                    <w:szCs w:val="24"/>
                  </w:rPr>
                  <m:t/>
                </m:r>
                <m:sSub>
                  <m:sSubPr>
                    <m:ctrlPr>
                      <w:rPr>
                        <w:rFonts w:ascii="Cambria Math" w:hAnsi="Cambria Math"/>
                        <w:sz w:val="24"/>
                        <w:szCs w:val="24"/>
                      </w:rPr>
                    </m:ctrlPr>
                  </m:sSubPr>
                  <m:e>
                    <m:r>
                      <w:rPr>
                        <w:rFonts w:ascii="Cambria Math" w:hAnsi="Cambria Math"/>
                        <w:sz w:val="24"/>
                        <w:szCs w:val="24"/>
                      </w:rPr>
                      <m:t/>
                    </m:r>
                  </m:e>
                  <m:sub>
                    <m:r>
                      <m:rPr>
                        <m:sty m:val="p"/>
                      </m:rPr>
                      <w:rPr>
                        <w:rFonts w:ascii="Cambria Math" w:hAnsi="Cambria Math"/>
                        <w:sz w:val="24"/>
                        <w:szCs w:val="24"/>
                      </w:rPr>
                      <m:t/>
                    </m:r>
                  </m:sub>
                </m:sSub>
                <m:r>
                  <w:rPr>
                    <w:rFonts w:ascii="Cambria Math" w:hAnsi="Cambria Math"/>
                    <w:sz w:val="24"/>
                    <w:szCs w:val="24"/>
                  </w:rPr>
                  <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rPr>
          <w:sz w:val="32"/>
        </w:rPr>
        <w:t>โดย x(t) คือตัวแปรสถานะเชิงอนุพันธ์, y(t) คือแรงดันเชิงพีชคณิตของบัส, u(t) คือสัญญาณควบคุมภายนอก และ m(t) คือเวกเตอร์ระบุโหมดการทำงาน (GFL/GFM) ของอินเวอร์เตอร์แต่ละเครื่อง สมการพีชคณิตกำหนดให้กระแสที่ฉีดเข้าสู่เครือข่ายสมดุลกับกระแสรวมของอุปกรณ์ทุกบัสตลอดเวลา</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t>รูปที่ 2 โครงสร้างและขั้นตอนการคำนวณของการสลับโหมด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rPr>
          <w:sz w:val="32"/>
        </w:rP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t>เมื่อเบรกเกอร์ของ SG เปิด วงจรจะหยุดการจ่ายกระแสเข้าระบบ แต่ตัวแปรสถานะทางกลและฟลักซ์แม่เหล็กยังคงมีพลวัตการหมุนอิสระของโรเตอร์หลังปลดเบรกเกอร์ จึงสามารถตรวจสอบเงื่อนไขการซิงโครไนซ์ (Synchronism Criteria) ก่อนการสับเบรกเกอร์กลับเข้าระบบได้จริง โดยไม่มีการรีเซ็ตมุมหรือความเร็วรอบของเครื่องกำเนิดไฟฟ้าแบบฝืนสภาวะทางกายภาพ</w:t>
      </w:r>
    </w:p>
    <w:p w14:paraId="5CDB1A24" w14:textId="77777777" w:rsidR="00AB2918" w:rsidRDefault="009A1077">
      <w:pPr>
        <w:keepNext/>
        <w:spacing w:before="80" w:after="30"/>
        <w:jc w:val="left"/>
      </w:pPr>
      <w:r>
        <w:rPr>
          <w:sz w:val="32"/>
        </w:rPr>
        <w:t>5. การวิเคราะห์เสถียรภาพสัญญาณขนาดเล็ก (SSSA) เพื่อการคัดกรองชุดอุปกรณ์ GFM 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rPr>
          <w:sz w:val="32"/>
        </w:rPr>
        <w:t>การจัดการกรอบอ้างอิงของมุมโรเตอร์ (Reference Angle Alignment) เป็นขั้นตอนสำคัญของการวิเคราะห์ SSSA เนื่องจากโครงข่ายมีองศาอิสระของมุมเฟสร่วม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Pr>
          <w:sz w:val="32"/>
        </w:rPr>
        <w:t>ตารางที่ 3 ผล SSSA ของสภาวะการทำงานเมื่อ SG ปลดออกจากระบบ: IBR2 เป็น GFM และ IBR3, 6, 8 เป็น GFL</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rPr>
          <w:sz w:val="32"/>
        </w:rPr>
        <w:t>spectrum ทางกายภาพของ configuration นี้อยู่ในระนาบครึ่งซ้ายทั้งหมด โดย mode ที่อยู่ขวาสุดคือ   และคู่ mode ของ DC link มี damping ratio ใกล้  ตามค่าเป้าหมายที่ออกแบบไว้</w:t>
      </w:r>
    </w:p>
    <w:p w14:paraId="2E4AFB85" w14:textId="77777777" w:rsidR="00AB2918" w:rsidRDefault="009A1077">
      <w:pPr>
        <w:spacing w:line="320" w:lineRule="exact"/>
        <w:ind w:firstLine="360"/>
        <w:jc w:val="left"/>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4"/>
                <w:szCs w:val="24"/>
              </w:rPr>
              <m:t>2</m:t>
            </m:r>
          </m:e>
          <m:sup>
            <m:r>
              <w:rPr>
                <w:rFonts w:ascii="Cambria Math" w:hAnsi="Cambria Math"/>
                <w:sz w:val="24"/>
                <w:szCs w:val="24"/>
              </w:rPr>
              <m:t>4</m:t>
            </m:r>
          </m:sup>
        </m:sSup>
        <m:r>
          <w:rPr>
            <w:rFonts w:ascii="Cambria Math" w:hAnsi="Cambria Math"/>
            <w:sz w:val="24"/>
            <w:szCs w:val="24"/>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4"/>
            <w:szCs w:val="24"/>
          </w:rPr>
          <m:t>Ω=-0.</m:t>
        </m:r>
        <m:r>
          <w:rPr>
            <w:rFonts w:ascii="Cambria Math" w:hAnsi="Cambria Math"/>
            <w:sz w:val="24"/>
            <w:szCs w:val="24"/>
          </w:rPr>
          <m:t>56814</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ในขณะที่การให้ทั้งสี่ตัวเป็น GFM ให้ </w:t>
      </w:r>
      <m:oMath>
        <m:r>
          <w:rPr>
            <w:rFonts w:ascii="Cambria Math" w:hAnsi="Cambria Math"/>
            <w:sz w:val="24"/>
            <w:szCs w:val="24"/>
          </w:rPr>
          <m:t>Ω=-0.48291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และชุดตัวเดียวที่ดีที่สุดให้ </w:t>
      </w:r>
      <m:oMath>
        <m:r>
          <w:rPr>
            <w:rFonts w:ascii="Cambria Math" w:hAnsi="Cambria Math"/>
            <w:sz w:val="24"/>
            <w:szCs w:val="24"/>
          </w:rPr>
          <m:t>Ω=-0.</m:t>
        </m:r>
        <m:r>
          <w:rPr>
            <w:rFonts w:ascii="Cambria Math" w:hAnsi="Cambria Math"/>
            <w:sz w:val="24"/>
            <w:szCs w:val="24"/>
          </w:rPr>
          <m:t>32801</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Pr>
          <w:sz w:val="32"/>
        </w:rPr>
        <w:t>ตารางที่ 4 สรุปการคัดกรองชุดอุปกรณ์ GFM ทั้ง 15 ทางเลือกเมื่อ SG ปลดออกจากระบบ</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4"/>
                  <w:szCs w:val="24"/>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r>
              <w:t>ชุดบัส 2+6 และบัส 3+6 ผ่าน; ชุดหลังให้ค่า Ω ต่ำสุดในตารางทั้งหมด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rPr>
          <w:sz w:val="32"/>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t>กำหนดเวลาเหตุการณ์ให้ตรงกับขอบเขตขั้นเวลาของการคำนวณ เพื่อรักษาความถูกต้องของสมการดุลกำลัง KCL และลดความไม่ต่อเนื่องเชิงตัวเลข</w:t>
      </w:r>
    </w:p>
    <w:p w14:paraId="02598BDE" w14:textId="77777777" w:rsidR="00AB2918" w:rsidRDefault="009A1077">
      <w:pPr>
        <w:spacing w:line="320" w:lineRule="exact"/>
        <w:ind w:firstLine="360"/>
        <w:jc w:val="left"/>
      </w:pPr>
      <w:r>
        <w:rPr>
          <w:sz w:val="32"/>
        </w:rP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t>กลุ่ม x_p เป็นตัวแปรสถานะทางกายภาพที่ใช้ร่วมกันในทั้งสองโหมดและเปลี่ยนแปลงตามพลวัตของระบบ ส่วน x_GFL และ x_GFM เป็นตัวแปรสถานะของตัวควบคุมแต่ละโหมดซึ่งไม่ทำงานพร้อมกัน</w:t>
      </w:r>
    </w:p>
    <w:p w14:paraId="1ED903FD" w14:textId="77777777" w:rsidR="00AB2918" w:rsidRDefault="009A1077">
      <w:pPr>
        <w:spacing w:line="320" w:lineRule="exact"/>
        <w:ind w:firstLine="360"/>
        <w:jc w:val="left"/>
      </w:pPr>
      <w:r>
        <w:rPr>
          <w:sz w:val="32"/>
        </w:rP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r>
              <w:t>ภาคกายภาพ AC/DC; ใช้ร่วมกันและเปลี่ยนแปลงตามพลวัตอย่างต่อเนื่อง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rPr>
          <w:sz w:val="32"/>
        </w:rP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rPr>
          <w:sz w:val="32"/>
        </w:rP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t>จุดสำคัญของโหมด GFL คือต้องอาศัยแรงดันและมุมเฟสของโครงข่ายเป็นสัญญาณอ้างอิงผ่าน PLL ดังนั้นหลัง SG ถูกปลด ระบบต้องมีอุปกรณ์ที่ทำหน้าที่กำหนดแรงดันและมุมอ้างอิง โดยในกรณีศึกษานี้ใช้ IBR ที่ทำงานในโหมด GFM</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t>มาตรฐานระบบไฟฟ้ากำลัง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t>มาตรฐานระบบไฟฟ้ากำลัง IEEE 14-bus</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t>โครงสร้างควบคุมอ้างอิง [7]–[10]; ค่าพารามิเตอร์กำหนดสำหรับกรณีศึกษา</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t>โครงสร้างควบคุมอ้างอิง [7]–[10]; ค่าพารามิเตอร์กำหนดสำหรับกรณีศึกษา</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t>ค่าพารามิเตอร์กำหนดสำหรับกรณีศึกษา</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t>โครงสร้างควบคุมอ้างอิง [7]–[10]; ค่าพารามิเตอร์กำหนดสำหรับกรณีศึกษา</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t>โครงสร้างควบคุมอ้างอิง [7]–[10]; ค่าพารามิเตอร์กำหนดสำหรับกรณีศึกษา</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t>โครงสร้างควบคุมอ้างอิง [7]–[10]; ค่าพารามิเตอร์กำหนดสำหรับกรณีศึกษา</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t>โครงสร้างควบคุมอ้างอิง [7]–[10]; ค่าพารามิเตอร์กำหนดสำหรับกรณีศึกษา</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t>โครงสร้างควบคุมอ้างอิง [7]–[10]; ค่าพารามิเตอร์กำหนดสำหรับกรณีศึกษา</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t>โครงสร้างควบคุมอ้างอิง [7]–[10]; ค่าพารามิเตอร์กำหนดสำหรับกรณีศึกษา</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t>ค่าพารามิเตอร์กำหนดสำหรับกรณีศึกษา</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t>ค่าพารามิเตอร์กำหนดสำหรับกรณีศึกษา</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t>ค่าพารามิเตอร์กำหนดสำหรับกรณีศึกษา</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t>ค่าพารามิเตอร์กำหนดสำหรับกรณีศึกษา</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rPr>
          <w:sz w:val="32"/>
        </w:rP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t>พื้น damping ratio ของเกณฑ์คัดกรอง ชุดอุปกรณ์ GFM</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r>
              <w:t>รายการ</w:t>
            </w:r>
          </w:p>
        </w:tc>
        <w:tc>
          <w:tcPr>
            <w:tcW w:w="2306" w:type="dxa"/>
          </w:tcPr>
          <w:p>
            <w:r>
              <w:t>ค่าที่วัดได้</w:t>
            </w:r>
          </w:p>
        </w:tc>
        <w:tc>
          <w:tcPr>
            <w:tcW w:w="1926" w:type="dxa"/>
          </w:tcPr>
          <w:p>
            <w:r>
              <w:t>รายการ</w:t>
            </w:r>
          </w:p>
        </w:tc>
        <w:tc>
          <w:tcPr>
            <w:tcW w:w="2410" w:type="dxa"/>
          </w:tcPr>
          <w:p>
            <w:r>
              <w:t>ค่าที่วัดได้</w:t>
            </w:r>
          </w:p>
        </w:tc>
      </w:tr>
      <w:tr w:rsidR="00EF64FD" w14:paraId="1A9111EF" w14:textId="77777777" w:rsidTr="00EF64FD">
        <w:trPr>
          <w:jc w:val="center"/>
        </w:trPr>
        <w:tc>
          <w:tcPr>
            <w:tcW w:w="2000" w:type="dxa"/>
          </w:tcPr>
          <w:p>
            <w:r>
              <w:t>ขอบเขตเวลาที่เดินถึง</w:t>
            </w:r>
          </w:p>
        </w:tc>
        <w:tc>
          <w:tcPr>
            <w:tcW w:w="2306" w:type="dxa"/>
          </w:tcPr>
          <w:p>
            <w:r>
              <w:t>160.000 s</w:t>
            </w:r>
          </w:p>
        </w:tc>
        <w:tc>
          <w:tcPr>
            <w:tcW w:w="1926" w:type="dxa"/>
          </w:tcPr>
          <w:p>
            <w:r>
              <w:t>จุดตัวอย่างที่ยอมรับ</w:t>
            </w:r>
          </w:p>
        </w:tc>
        <w:tc>
          <w:tcPr>
            <w:tcW w:w="2410" w:type="dxa"/>
          </w:tcPr>
          <w:p>
            <w:r>
              <w:t>2288</w:t>
            </w:r>
          </w:p>
        </w:tc>
      </w:tr>
      <w:tr w:rsidR="00EF64FD" w14:paraId="52A49D1D" w14:textId="77777777" w:rsidTr="00EF64FD">
        <w:trPr>
          <w:jc w:val="center"/>
        </w:trPr>
        <w:tc>
          <w:tcPr>
            <w:tcW w:w="2000" w:type="dxa"/>
          </w:tcPr>
          <w:p>
            <w:r>
              <w:t>สถานะการจำลอง</w:t>
            </w:r>
          </w:p>
        </w:tc>
        <w:tc>
          <w:tcPr>
            <w:tcW w:w="2306" w:type="dxa"/>
          </w:tcPr>
          <w:p>
            <w:r>
              <w:t>ลู่เข้าสมบูรณ์</w:t>
            </w:r>
          </w:p>
        </w:tc>
        <w:tc>
          <w:tcPr>
            <w:tcW w:w="1926" w:type="dxa"/>
          </w:tcPr>
          <w:p>
            <w:r>
              <w:t>ขั้นที่ยอมรับด้วยพื้นขั้นต่ำ</w:t>
            </w:r>
          </w:p>
        </w:tc>
        <w:tc>
          <w:tcPr>
            <w:tcW w:w="2410" w:type="dxa"/>
          </w:tcPr>
          <w:p>
            <w:r>
              <w:t>0</w:t>
            </w:r>
          </w:p>
        </w:tc>
      </w:tr>
      <w:tr w:rsidR="00EF64FD" w14:paraId="643D694E" w14:textId="77777777" w:rsidTr="00EF64FD">
        <w:trPr>
          <w:jc w:val="center"/>
        </w:trPr>
        <w:tc>
          <w:tcPr>
            <w:tcW w:w="2000" w:type="dxa"/>
          </w:tcPr>
          <w:p>
            <w:r>
              <w:t>เวลาปิดเบรกเกอร์ SG</w:t>
            </w:r>
          </w:p>
        </w:tc>
        <w:tc>
          <w:tcPr>
            <w:tcW w:w="2306" w:type="dxa"/>
          </w:tcPr>
          <w:p>
            <w:r>
              <w:t>102.363 s</w:t>
            </w:r>
          </w:p>
        </w:tc>
        <w:tc>
          <w:tcPr>
            <w:tcW w:w="1926" w:type="dxa"/>
          </w:tcPr>
          <w:p>
            <w:r>
              <w:t>เวลาคืนมุมอ้างอิงให้ SG</w:t>
            </w:r>
          </w:p>
        </w:tc>
        <w:tc>
          <w:tcPr>
            <w:tcW w:w="2410" w:type="dxa"/>
          </w:tcPr>
          <w:p>
            <w:r>
              <w:t>116.238 s</w:t>
            </w:r>
          </w:p>
        </w:tc>
      </w:tr>
      <w:tr w:rsidR="00EF64FD" w14:paraId="6B8FCC2C" w14:textId="77777777" w:rsidTr="00EF64FD">
        <w:trPr>
          <w:jc w:val="center"/>
        </w:trPr>
        <w:tc>
          <w:tcPr>
            <w:tcW w:w="2000" w:type="dxa"/>
          </w:tcPr>
          <w:p>
            <w:r>
              <w:t>GFM สูงสุดพร้อมกัน</w:t>
            </w:r>
          </w:p>
        </w:tc>
        <w:tc>
          <w:tcPr>
            <w:tcW w:w="2306" w:type="dxa"/>
          </w:tcPr>
          <w:p>
            <w:r>
              <w:t>2</w:t>
            </w:r>
          </w:p>
        </w:tc>
        <w:tc>
          <w:tcPr>
            <w:tcW w:w="1926" w:type="dxa"/>
          </w:tcPr>
          <w:p>
            <w:r>
              <w:t>GFM เมื่อจบการรัน</w:t>
            </w:r>
          </w:p>
        </w:tc>
        <w:tc>
          <w:tcPr>
            <w:tcW w:w="2410" w:type="dxa"/>
          </w:tcPr>
          <w:p>
            <w:r>
              <w:t>0</w:t>
            </w:r>
          </w:p>
        </w:tc>
      </w:tr>
      <w:tr w:rsidR="00EF64FD" w14:paraId="07895B5B" w14:textId="77777777" w:rsidTr="00EF64FD">
        <w:trPr>
          <w:jc w:val="center"/>
        </w:trPr>
        <w:tc>
          <w:tcPr>
            <w:tcW w:w="2000" w:type="dxa"/>
          </w:tcPr>
          <w:p>
            <w:r>
              <w:t>การสั่งการ เพิ่ม GFM / ปฏิเสธ</w:t>
            </w:r>
          </w:p>
        </w:tc>
        <w:tc>
          <w:tcPr>
            <w:tcW w:w="2306" w:type="dxa"/>
          </w:tcPr>
          <w:p>
            <w:r>
              <w:t>1 / 0</w:t>
            </w:r>
          </w:p>
        </w:tc>
        <w:tc>
          <w:tcPr>
            <w:tcW w:w="1926" w:type="dxa"/>
          </w:tcPr>
          <w:p>
            <w:r>
              <w:t>การสั่งการ ปลด GFM / ปฏิเสธ</w:t>
            </w:r>
          </w:p>
        </w:tc>
        <w:tc>
          <w:tcPr>
            <w:tcW w:w="2410" w:type="dxa"/>
          </w:tcPr>
          <w:p>
            <w:r>
              <w:t>1 / 0</w:t>
            </w:r>
          </w:p>
        </w:tc>
      </w:tr>
      <w:tr w:rsidR="00EF64FD" w14:paraId="01A1CBB4" w14:textId="77777777" w:rsidTr="00EF64FD">
        <w:trPr>
          <w:jc w:val="center"/>
        </w:trPr>
        <w:tc>
          <w:tcPr>
            <w:tcW w:w="2000" w:type="dxa"/>
          </w:tcPr>
          <w:p>
            <w:r>
              <w:t>ความถี่เฉลี่ยเมื่อจบการรัน</w:t>
            </w:r>
          </w:p>
        </w:tc>
        <w:tc>
          <w:tcPr>
            <w:tcW w:w="2306" w:type="dxa"/>
          </w:tcPr>
          <w:p>
            <w:r>
              <w:t>60.000 Hz</w:t>
            </w:r>
          </w:p>
        </w:tc>
        <w:tc>
          <w:tcPr>
            <w:tcW w:w="1926" w:type="dxa"/>
          </w:tcPr>
          <w:p>
            <w:r>
              <w:t>แรงดันบัสคอนเวอร์เตอร์เมื่อจบ</w:t>
            </w:r>
          </w:p>
        </w:tc>
        <w:tc>
          <w:tcPr>
            <w:tcW w:w="2410" w:type="dxa"/>
          </w:tcPr>
          <w:p>
            <w:r>
              <w:t>0.967–1.058 pu</w:t>
            </w:r>
          </w:p>
        </w:tc>
      </w:tr>
      <w:tr w:rsidR="00EF64FD" w14:paraId="5869D167" w14:textId="77777777" w:rsidTr="00EF64FD">
        <w:trPr>
          <w:jc w:val="center"/>
        </w:trPr>
        <w:tc>
          <w:tcPr>
            <w:tcW w:w="2000" w:type="dxa"/>
          </w:tcPr>
          <w:p>
            <w:r>
              <w:t>ความถี่เฉลี่ยนอกหน้าต่างฟอลต์</w:t>
            </w:r>
          </w:p>
        </w:tc>
        <w:tc>
          <w:tcPr>
            <w:tcW w:w="2306" w:type="dxa"/>
          </w:tcPr>
          <w:p>
            <w:r>
              <w:t>59.240–60.114 Hz</w:t>
            </w:r>
          </w:p>
        </w:tc>
        <w:tc>
          <w:tcPr>
            <w:tcW w:w="1926" w:type="dxa"/>
          </w:tcPr>
          <w:p>
            <w:r>
              <w:t>ยอดขณะฟอลต์</w:t>
            </w:r>
          </w:p>
        </w:tc>
        <w:tc>
          <w:tcPr>
            <w:tcW w:w="2410" w:type="dxa"/>
          </w:tcPr>
          <w:p>
            <w:r>
              <w:t>60.676 Hz</w:t>
            </w:r>
          </w:p>
        </w:tc>
      </w:tr>
      <w:tr w:rsidR="00EF64FD" w14:paraId="28C5A677" w14:textId="77777777" w:rsidTr="00EF64FD">
        <w:trPr>
          <w:jc w:val="center"/>
        </w:trPr>
        <w:tc>
          <w:tcPr>
            <w:tcW w:w="2000" w:type="dxa"/>
          </w:tcPr>
          <w:p>
            <w:r>
              <w:t>แรงดันนอกหน้าต่างฟอลต์</w:t>
            </w:r>
          </w:p>
        </w:tc>
        <w:tc>
          <w:tcPr>
            <w:tcW w:w="2306" w:type="dxa"/>
          </w:tcPr>
          <w:p>
            <w:r>
              <w:t>0.551–1.138 pu</w:t>
            </w:r>
          </w:p>
        </w:tc>
        <w:tc>
          <w:tcPr>
            <w:tcW w:w="1926" w:type="dxa"/>
          </w:tcPr>
          <w:p>
            <w:r>
              <w:t>ยอดขณะฟอลต์</w:t>
            </w:r>
          </w:p>
        </w:tc>
        <w:tc>
          <w:tcPr>
            <w:tcW w:w="2410" w:type="dxa"/>
          </w:tcPr>
          <w:p>
            <w:r>
              <w:t>0.258–1.864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rPr>
          <w:sz w:val="32"/>
        </w:rP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rPr>
          <w:sz w:val="32"/>
        </w:rP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1A61E12E" w14:textId="77777777" w:rsidR="007863B5" w:rsidRDefault="009A1077" w:rsidP="007863B5">
      <w:pPr>
        <w:spacing w:line="320" w:lineRule="exact"/>
        <w:ind w:firstLine="360"/>
        <w:jc w:val="left"/>
      </w:pPr>
      <w:r>
        <w:rPr>
          <w:sz w:val="32"/>
        </w:rPr>
        <w:t>ผลการจำลองเปรียบเทียบแสดงให้เห็นความแตกต่างของพฤติกรรมทางพลวัต: ในกรณีสลับโหมด ตัวกำกับอัตโนมัติสั่งการให้ IBR2 และ IBR6 เปลี่ยนบทบาทเป็น GFM เพื่อสร้างแรงดันและควบคุมความถี่ของระบบเกาะ ส่งผลให้ระบบมีความพร้อมสำหรับการต่อคืน SG1 ขณะที่ในกรณีตรึงโหมด GFL ซึ่งคงกรอบอ้างอิงไว้เพื่อการวินิจฉัยเชิงเปรียบเทียบ การตอบสนองของแรงดันและกำลังไฟฟ้ามีความผันผวนสูง และเงื่อนไขทางมุมเฟสไม่ผ่านเกณฑ์การซิงโครไนซ์ ทำให้เบรกเกอร์ของ SG1 ไม่สามารถปิดกลับเข้าระบบได้</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การตรวจสอบความถูกต้องของสมการนี้อยู่ที่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ทั้งสองกรณี</w:t>
      </w:r>
    </w:p>
    <w:p w14:paraId="6ED44EA7" w14:textId="77777777" w:rsidR="00AB2918" w:rsidRDefault="009A1077">
      <w:pPr>
        <w:spacing w:line="320" w:lineRule="exact"/>
        <w:ind w:firstLine="360"/>
        <w:jc w:val="left"/>
      </w:pPr>
      <w:r>
        <w:rPr>
          <w:sz w:val="32"/>
        </w:rPr>
        <w:t>แผงที่ (d) แสดงความถี่ที่บัส 9 ซึ่งคำนวณจากอนุพันธ์ของมุมแรงดันบัสเชิงพีชคณิต ทำให้สามารถเปรียบเทียบพฤติกรรมความถี่ของทั้งสองกรณีบนตัวแปรเดียวกันได้โดยตรง</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rPr>
          <w:sz w:val="32"/>
        </w:rPr>
        <w:t>จากรูปที่ 8 ในช่วงระบบแยกตัวเป็นเกาะ (t = 20.000–100.000 s) การตอบสนองของแรงดัน กำลังไฟฟ้าจริง กำลังไฟฟ้ารีแอกทีฟ และความถี่ที่บัส 9 ของทั้งสองกรณีเป็นไปตามเส้นการตอบสนองที่แสดงในรูปที่ 8 โดยกรณีสลับโหมดสามารถควบคุมระดับแรงดันและจ่ายกำลังไฟฟ้าไปยังโหลดได้อย่างต่อเนื่อง พร้อมทั้งมีมุมเฟสที่สอดคล้องกับเกณฑ์การซิงโครไนซ์ที่เวลา 102.363 s ขณะที่กรณีตรึงโหมด GFL มีการแกว่งของแรงดันและกำลังไฟฟ้า และไม่เกิดการปิดเบรกเกอร์ของ SG1</w:t>
      </w:r>
    </w:p>
    <w:p w14:paraId="217579ED" w14:textId="77777777" w:rsidR="00AB2918" w:rsidRDefault="009A1077">
      <w:pPr>
        <w:spacing w:line="320" w:lineRule="exact"/>
        <w:ind w:firstLine="360"/>
        <w:jc w:val="left"/>
      </w:pPr>
      <w:r>
        <w:rPr>
          <w:sz w:val="32"/>
        </w:rPr>
        <w:t>ความถี่ที่บัส 9 ในช่วงระบบแยกตัวเป็นเกาะของทั้งสองกรณีเป็นไปตามช่วงค่าที่แสดงในรูปที่ 8(d) โดยกรณีสลับโหมดมีการควบคุมแรงดันเพื่อรองรับการจ่ายกำลังไฟฟ้าไปยังโหลด และทำให้เงื่อนไขทางมุมและแรงดันมีความพร้อมตามเกณฑ์การซิงโครไนซ์สำหรับการต่อคืน SG1 กลับเข้าระบบ</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r>
              <w:t>ผลที่ได้</w:t>
            </w:r>
          </w:p>
        </w:tc>
      </w:tr>
      <w:tr>
        <w:tc>
          <w:tcPr>
            <w:tcW w:type="dxa" w:w="2769"/>
          </w:tcPr>
          <w:p>
            <w:pPr>
              <w:jc w:val="left"/>
            </w:pPr>
            <w:r>
              <w:t>โครงสร้างการคำนวณ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r>
              <w:t>IBR2 สลับเป็น GFM ที่ 20.000 s, IBR6 สลับเป็น GFM ที่ 22.089 s และ IBR6 คืนเป็น GFL ที่ 25.303 s</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r>
              <w:t>ทนฟอลต์บัส 9 ช่วง 60.000–60.150 s, SG1 ปิดเบรกเกอร์ที่ 102.363 s และ IBR2 คืนเป็น GFL ที่ 116.238 s</w:t>
            </w:r>
          </w:p>
        </w:tc>
      </w:tr>
    </w:tbl>
    <w:p w14:paraId="27FF0331" w14:textId="77777777" w:rsidR="00AB2918" w:rsidRDefault="009A1077">
      <w:pPr>
        <w:keepNext/>
        <w:spacing w:before="80" w:after="30"/>
        <w:jc w:val="left"/>
      </w:pPr>
      <w:r>
        <w:rPr>
          <w:sz w:val="32"/>
        </w:rPr>
        <w:t>12. ข้อจำกัดและขอบเขตของงาน</w:t>
      </w:r>
    </w:p>
    <w:p w14:paraId="7D2A3F58" w14:textId="77777777" w:rsidR="00AB2918" w:rsidRDefault="009A1077">
      <w:pPr>
        <w:spacing w:line="320" w:lineRule="exact"/>
        <w:ind w:firstLine="360"/>
        <w:jc w:val="left"/>
      </w:pPr>
      <w:r>
        <w:rPr>
          <w:sz w:val="32"/>
        </w:rP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pPr>
        <w:jc w:val="left"/>
      </w:pPr>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pPr>
        <w:jc w:val="left"/>
      </w:pPr>
      <w:r>
        <w:rPr>
          <w:sz w:val="32"/>
        </w:rPr>
        <w:t>1.</w:t>
        <w:tab/>
        <w:t>ได้แบบจำลองอุปกรณ์ IBR สำหรับการทำงานแบบ GFL (10 สถานะ) และ GFM (11 สถานะ) ภายในอุปกรณ์ชุดเดียวกัน</w:t>
      </w:r>
    </w:p>
    <w:p>
      <w:pPr>
        <w:jc w:val="left"/>
      </w:pPr>
      <w:r>
        <w:rPr>
          <w:sz w:val="32"/>
        </w:rPr>
        <w:t>2.</w:t>
        <w:tab/>
        <w:t>ได้กลไกตัวกำกับอัตโนมัติสำหรับการตัดสินใจสลับโหมดตามสภาวะแรงดันและความถี่ของระบบ พร้อมการถ่ายโอนสถานะอย่างต่อเนื่อง</w:t>
      </w:r>
    </w:p>
    <w:p>
      <w:pPr>
        <w:jc w:val="left"/>
      </w:pPr>
      <w:r>
        <w:rPr>
          <w:sz w:val="32"/>
        </w:rPr>
        <w:t>3.</w:t>
        <w:tab/>
        <w:t>ได้ผลการทดสอบเชิงพลวัตบนระบบ IEEE 14-bus ภายใต้เหตุการณ์ปลดเครื่องกำเนิดไฟฟ้า เกิดฟอลต์ และการต่อคืนเครื่องกำเนิดไฟฟ้าซิงโครนัส</w:t>
      </w:r>
    </w:p>
    <w:p>
      <w:pPr>
        <w:jc w:val="left"/>
      </w:pPr>
      <w:r>
        <w:rPr>
          <w:sz w:val="32"/>
        </w:rPr>
        <w:t>4.</w:t>
        <w:tab/>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rPr>
          <w:sz w:val="32"/>
        </w:rPr>
        <w:t>1.</w:t>
        <w:tab/>
        <w:t>หลังเครื่องกำเนิดไฟฟ้าซิงโครนัสหลัก (SG1) ถูกปลดออกจากระบบ หากไม่มีอินเวอร์เตอร์ตัวใดทำหน้าที่สร้างโครงข่าย (GFM) ระบบจะไม่มีแหล่งกำหนดแรงดันและมุมอ้างอิงของโครงข่าย ซึ่งเป็นข้อจำกัดทางกายภาพของการทำงานในระบบไฟฟ้ากำลัง</w:t>
      </w:r>
    </w:p>
    <w:p w14:paraId="08AF66B0" w14:textId="77777777" w:rsidR="00AB2918" w:rsidRDefault="009A1077">
      <w:pPr>
        <w:tabs>
          <w:tab w:val="left" w:pos="518"/>
        </w:tabs>
        <w:spacing w:line="320" w:lineRule="exact"/>
        <w:ind w:left="518" w:hanging="518"/>
        <w:jc w:val="left"/>
      </w:pPr>
      <w:r>
        <w:t>2.</w:t>
        <w:tab/>
        <w:t>การสลับโหมดทำให้บทบาทของ controller state เปลี่ยนไป หากกลไกการถ่ายโอนสถานะ (State Transfer Mechanism)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rPr>
          <w:sz w:val="32"/>
        </w:rPr>
        <w:t>3.</w:t>
        <w:tab/>
        <w:t>ชุดอุปกรณ์ GFM ที่ผ่านการวิเคราะห์เสถียรภาพสัญญาณขนาดเล็ก ไม่ได้รับประกันว่าวิถีการตอบสนองแบบไม่เชิงเส้นจะไปถึงจุดสมดุลนั้นได้เสมอ เนื่องจากพฤติกรรมทรานเชียนต์และข้อจำกัดของกระแสอุปกรณ์</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rPr>
          <w:sz w:val="32"/>
        </w:rP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rPr>
          <w:sz w:val="32"/>
        </w:rPr>
        <w:t>2.</w:t>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t>กำหนดเวลาเหตุการณ์ให้ตรงกับขอบเขตขั้นเวลาของการคำนวณ เพื่อรักษาความต่อเนื่องทางคณิตศาสตร์และเสถียรภาพเชิงตัวเลขของการจำลอง</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rPr>
          <w:sz w:val="32"/>
        </w:rPr>
        <w:t>2.</w:t>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rPr>
          <w:sz w:val="32"/>
        </w:rPr>
        <w:t>3.</w:t>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