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rPr>
          <w:sz w:val="32"/>
          <w:szCs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rPr>
          <w:sz w:val="32"/>
          <w:szCs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rPr>
          <w:sz w:val="32"/>
          <w:szCs w:val="32"/>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left"/>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rPr>
        <w:t>กรณีศึกษาถูกออกแบบให้เกิดการสูญเสียเครื่องกำเนิดไฟฟ้าซิงโครนัส (SG) การเกิดฟอลต์ที่บัส 9 และการต่อคืน SG กลับเข้าระบบ เพื่อแสดงให้เห็นความจำเป็นของการสลับบทบาทของอินเวอร์เตอร์อย่างชัดเจน หากไม่มีแหล่งสร้างแรงดัน (voltage-forming) หลัง SG ถูกปลด โครงข่ายไฟฟ้าจะไม่สามารถรักษามุมอ้างอิงและระดับแรงดันไว้ได้</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67443BD2" w14:textId="77777777" w:rsidR="00AB2918" w:rsidRDefault="009A1077">
      <w:pPr>
        <w:spacing w:before="60" w:line="320" w:lineRule="exact"/>
        <w:ind w:firstLine="360"/>
        <w:jc w:val="left"/>
      </w:pPr>
      <w:r>
        <w:rPr>
          <w:sz w:val="32"/>
          <w:szCs w:val="32"/>
        </w:rP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t>อัตราการสลายของรากที่ช้าที่สุดของชุดอุปกรณ์ GFM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3B050FE1" w14:textId="77777777" w:rsidR="00AB2918" w:rsidRDefault="009A1077" w:rsidP="007E012D">
            <w:pPr>
              <w:jc w:val="left"/>
            </w:pPr>
            <w:r>
              <w:rPr>
                <w:sz w:val="32"/>
                <w:szCs w:val="32"/>
                <w:cs/>
              </w:rPr>
              <w:t>ตัวจำกัดกระแสอ้างอิงแบบวงกลม</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rPr>
          <w:sz w:val="32"/>
          <w:szCs w:val="32"/>
        </w:rPr>
        <w:t>2. โครงสร้างและหลักการทำงานของสายงานคำนวณ</w:t>
      </w:r>
    </w:p>
    <w:p w14:paraId="7EA02714" w14:textId="77777777" w:rsidR="00AB2918" w:rsidRDefault="009A1077">
      <w:pPr>
        <w:spacing w:line="320" w:lineRule="exact"/>
        <w:ind w:firstLine="360"/>
        <w:jc w:val="left"/>
      </w:pPr>
      <w:r>
        <w:rPr>
          <w:sz w:val="32"/>
        </w:rPr>
        <w:t>เพื่อให้ผลการจำลองในโดเมนเวลา (TS) เริ่มต้นจากสภาวะสมดุลเดียวกับที่ได้จากการคำนวณ PF อย่างถูกต้อง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rPr>
          <w:sz w:val="32"/>
        </w:rPr>
        <w:t>ระบบสมการ DAE ของเครือข่ายเขียนในรูป x_dot(t) = f(x(t), y(t), u(t), m(t)) สำหรับสมการเชิงอนุพันธ์ และ 0 = g(x(t), y(t), m(t)) = Y_net(t) V(t) - I_bus(x(t), V(t), m(t)) สำหรับสมการพีชคณิตทางโครงข่าย โดย x(t) คือตัวแปรสถานะของ SG และ IBR, y(t) คือแรงดันเชิงพีชคณิตของบัส, u(t) คือสัญญาณควบคุมภายนอก และ m(t) คือเวกเตอร์ระบุโหมดการทำงาน (GFL/GFM) ของอินเวอร์เตอร์</w:t>
      </w:r>
    </w:p>
    <w:p w14:paraId="35432325" w14:textId="77777777" w:rsidR="00AB2918" w:rsidRDefault="009A1077">
      <w:pPr>
        <w:keepNext/>
        <w:spacing w:before="50" w:after="40"/>
        <w:jc w:val="left"/>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szCs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rPr>
        <w:t>จุดทำงานที่ได้จาก PF ถูกใช้เป็นจุดทำงานเริ่มต้น (initial operating point) สำหรับการจำลองในโดเมนเวลา (TS) และการวิเคราะห์สัญญาณขนาดเล็ก (SSSA) ที่สภาวะเริ่มต้น ทั้งนี้ในระหว่างการจำลอง TS เมื่อเกิดเหตุการณ์รบกวนหรือมีการสลับโหมดควบคุม จุดทำงานของระบบจะเปลี่ยนแปลงตามเวลาและตามสถานะ m_i(t) ของอุปกรณ์</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rPr>
        <w:t>ตารางที่ 2 ผลการคำนวณการไหลของกำลังของระบบ IEEE 14-bus (*หมายเหตุ: P_inj และ Q_inj ที่บัส 1 คือกำลังผลิตของ SG ส่วนที่บัส 2, 3, 6, 8 คือกำลังผลิตที่กำหนดของ IBR โหมด PQ)</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w:r>
              <w:rPr>
                <w:sz w:val="32"/>
              </w:rPr>
              <w:t>P_inj*</w:t>
            </w:r>
          </w:p>
        </w:tc>
        <w:tc>
          <w:tcPr>
            <w:tcW w:w="1154" w:type="dxa"/>
          </w:tcPr>
          <w:p w14:paraId="4F3EA381" w14:textId="77777777" w:rsidR="00AB2918" w:rsidRDefault="00000000" w:rsidP="00050D20">
            <w:pPr>
              <w:jc w:val="center"/>
            </w:pPr>
            <w:r>
              <w:rPr>
                <w:sz w:val="32"/>
              </w:rPr>
              <w:t>Q_inj*</w:t>
            </w:r>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จึงถูกกำหนดให้เป็นความสัมพันธ์เชิงพีชคณิตโดยตรง เพื่อรักษาความถูกต้องของโครงสร้างแบบจำลองทางคณิตศาสตร์</w:t>
      </w:r>
    </w:p>
    <w:p w14:paraId="07FF0122" w14:textId="77777777" w:rsidR="00AB2918" w:rsidRDefault="009A1077">
      <w:pPr>
        <w:spacing w:line="320" w:lineRule="exact"/>
        <w:ind w:firstLine="360"/>
        <w:jc w:val="left"/>
      </w:pPr>
      <w:r>
        <w:t>เมื่อเบรกเกอร์ของ SG เปิด วงจรจะหยุดการจ่ายกระแสเข้าระบบ แต่ตัวแปรสถานะทางกลและฟลักซ์แม่เหล็กยังคงมีพลวัตการหมุนอิสระของโรเตอร์ (Natural Deceleration / Free Rotation) จึงสามารถตรวจสอบเงื่อนไขการซิงโครไนซ์ (Synchronism Criteria) ก่อนการสับเบรกเกอร์กลับเข้าระบบได้จริง โดยไม่มีการรีเซ็ตมุมหรือความเร็วรอบของเครื่องกำเนิดไฟฟ้าแบบฝืนสภาวะทางกายภาพ</w:t>
      </w:r>
    </w:p>
    <w:p w14:paraId="5CDB1A24" w14:textId="77777777" w:rsidR="00AB2918" w:rsidRDefault="009A1077">
      <w:pPr>
        <w:keepNext/>
        <w:spacing w:before="80" w:after="30"/>
        <w:jc w:val="left"/>
      </w:pPr>
      <w:r>
        <w:t>5. การวิเคราะห์เสถียรภาพสัญญาณขนาดเล็ก (SSSA) เพื่อการคัดกรองชุดอุปกรณ์ GFM 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t>การจัดการกรอบอ้างอิงของมุมโรเตอร์ (Reference Angle Alignment) เป็นขั้นตอนสำคัญของการวิเคราะห์ SSSA เนื่องจากโครงข่ายมีองศาอิสระของมุมเฟสร่วม โดยใช้วิธีการกำหนดพิกัดอ้างอิงของระบบเพื่อขจัดภาวะเอกฐานทางคณิตศาสตร์ (Singularity Elimination) ก่อนการสร้างเมทริกซ์สถานะและคำนวณไอเกนแวลู พร้อมทั้งคงสมการดุลกำลัง KCL ครบทุกแถว วิธีนี้ทำให้จำนวนรากที่ใช้ตัดสินใจสอดคล้องกับจำนวนองศาอิสระ (Degrees of Freedom) ตามโครงสร้างทางกายภาพของระบบอย่างแท้จริง</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t>ตารางที่ 3 ผล SSSA ของสภาวะการทำงานเมื่อ SG ปลดออกจากระบบ: IBR2 เป็น GFM และ IBR3, 6, 8 เป็น GFL</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4"/>
            <w:szCs w:val="24"/>
          </w:rPr>
          <m:t>-0.328014±j0.448860</m:t>
        </m:r>
      </m:oMath>
      <w:r w:rsidRPr="00EB22C2">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และคู่ mode ของ DC link มี damping ratio ใกล้ </w:t>
      </w:r>
      <m:oMath>
        <m:r>
          <w:rPr>
            <w:rFonts w:ascii="Cambria Math" w:hAnsi="Cambria Math"/>
            <w:sz w:val="24"/>
            <w:szCs w:val="24"/>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left"/>
      </w:pPr>
      <w:r>
        <w:t>เมื่อ SG offline ชุดย่อยของ IBR ที่เป็นไปได้ทั้งหมดมี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ในขณะที่การให้ทั้งสี่ตัวเป็น GFM ให้   และชุดตัวเดียวที่ดีที่สุดให้   ผลนี้แสดงว่าการเพิ่มจำนวน GFM ไม่ได้ทำให้ damping margin ดีขึ้นแบบทางเดียว ซึ่งเป็นเหตุผลที่ตารางชุดอุปกรณ์ GFM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t>ตารางที่ 4 สรุปการคัดกรองชุดอุปกรณ์ GFM ทั้ง 15 ทางเลือกเมื่อ SG ปลดออกจากระบบ</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pPr>
              <w:jc w:val="left"/>
            </w:pPr>
            <w:r>
              <w:rPr>
                <w:sz w:val="32"/>
                <w:szCs w:val="32"/>
                <w:cs/>
              </w:rPr>
              <w:t>ทุกชุดตัวเดียวผ่านการคัดกรองเชิงเส้น; ชุดที่ดีที่สุดคือบัส 2 (</w:t>
            </w:r>
            <m:oMath>
              <m:r>
                <w:rPr>
                  <w:rFonts w:ascii="Cambria Math" w:hAnsi="Cambria Math"/>
                  <w:sz w:val="24"/>
                  <w:szCs w:val="24"/>
                </w:rPr>
                <m:t>Ω=-0.32801</m:t>
              </m:r>
            </m:oMath>
            <w:r>
              <w:rPr>
                <w:sz w:val="32"/>
                <w:szCs w:val="32"/>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14:paraId="3001EE6A" w14:textId="77777777" w:rsidR="00AB2918" w:rsidRDefault="009A1077">
            <w:pPr>
              <w:jc w:val="left"/>
            </w:pPr>
            <w:r>
              <w:rPr>
                <w:sz w:val="32"/>
                <w:szCs w:val="32"/>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t>การกำหนดตำแหน่งเหตุการณ์รบกวนได้รับการจัดการอย่างแม่นยำ โดยทำการจัดขอบเขตเหตุการณ์ (Event Alignment) ให้ตรงกับรอยต่อของขั้นเวลาเชิงตัวเลข เพื่อรักษาความถูกต้องของสมการดุลกำลัง KCL และป้องกันการเกิดความไม่ต่อเนื่องเชิงตัวเลข (Numerical Discontinuity)</w:t>
      </w:r>
    </w:p>
    <w:p w14:paraId="02598BDE" w14:textId="77777777" w:rsidR="00AB2918" w:rsidRDefault="009A1077">
      <w:pPr>
        <w:spacing w:line="320" w:lineRule="exact"/>
        <w:ind w:firstLine="360"/>
        <w:jc w:val="left"/>
      </w:pPr>
      <w:r>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left"/>
      </w:pPr>
      <w: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14:paraId="04693F71" w14:textId="77777777" w:rsidR="00AB2918" w:rsidRDefault="009A1077" w:rsidP="007E012D">
            <w:pPr>
              <w:jc w:val="left"/>
            </w:pPr>
            <w:r>
              <w:rPr>
                <w:sz w:val="32"/>
                <w:szCs w:val="32"/>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left"/>
      </w:pPr>
      <w:r>
        <w:rPr>
          <w:noProof/>
          <w:sz w:val="32"/>
          <w:szCs w:val="32"/>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แต่ลดมิติของแบบจำลองจากโครงสร้างเดิม 20 สถานะเหลือ 16 สถานะ ก่อนเพิ่ม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t>จุดสำคัญของ GFL คือต้องอาศัยแรงดันและมุมเฟสของโครงข่ายในการซิงโครไนซ์ผ่าน PLL ดังนั้นเมื่อสูญเสีย SG และไม่มีอินเวอร์เตอร์ตัวใดทำหน้าที่สร้างโครงข่าย (GFM) ระบบจะไม่มีแหล่งอ้างอิงแรงดันและมุมเฟส (Loss of Voltage-Forming Reference) ส่งผลให้เกิดสภาวะแรงดันพังทลายและสูญเสียเสถียรภาพอย่างสมบูรณ์ตามข้อจำกัดทางกายภาพของโครงข่าย</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sz w:val="32"/>
        </w:rPr>
        <w:t>ตารางที่ 6 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gridCol w:w="216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c>
          <w:tcPr>
            <w:tcW w:type="dxa" w:w="2160"/>
          </w:tcPr>
          <w:p>
            <w:r>
              <w:rPr>
                <w:sz w:val="32"/>
              </w:rPr>
              <w:t>ที่มา/การอ้างอิง</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c>
          <w:tcPr>
            <w:tcW w:type="dxa" w:w="2160"/>
          </w:tcPr>
          <w:p>
            <w:r>
              <w:rPr>
                <w:sz w:val="32"/>
              </w:rPr>
              <w:t>มาตรฐานระบบ IEEE 14-bus</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c>
          <w:tcPr>
            <w:tcW w:type="dxa" w:w="2160"/>
          </w:tcPr>
          <w:p>
            <w:r>
              <w:rPr>
                <w:sz w:val="32"/>
              </w:rPr>
              <w:t>ความถี่มาตรฐานระบบกำลัง</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c>
          <w:tcPr>
            <w:tcW w:type="dxa" w:w="2160"/>
          </w:tcPr>
          <w:p>
            <w:r>
              <w:rPr>
                <w:sz w:val="32"/>
              </w:rPr>
              <w:t>พารามิเตอร์ LCL filter อ้างอิง [8], [9]</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c>
          <w:tcPr>
            <w:tcW w:type="dxa" w:w="2160"/>
          </w:tcPr>
          <w:p>
            <w:r>
              <w:rPr>
                <w:sz w:val="32"/>
              </w:rPr>
              <w:t>การออกแบบบัส DC อ้างอิง [8]</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c>
          <w:tcPr>
            <w:tcW w:type="dxa" w:w="2160"/>
          </w:tcPr>
          <w:p>
            <w:r>
              <w:rPr>
                <w:sz w:val="32"/>
              </w:rPr>
              <w:t>พิกัดกระแสสูงสุดของอินเวอร์เตอร์</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c>
          <w:tcPr>
            <w:tcW w:type="dxa" w:w="2160"/>
          </w:tcPr>
          <w:p>
            <w:r>
              <w:rPr>
                <w:sz w:val="32"/>
              </w:rPr>
              <w:t>เกนวงควบคุม PLL อ้างอิง [8]</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c>
          <w:tcPr>
            <w:tcW w:type="dxa" w:w="2160"/>
          </w:tcPr>
          <w:p>
            <w:r>
              <w:rPr>
                <w:sz w:val="32"/>
              </w:rPr>
              <w:t>เกนวงควบคุมกำลังจริง อ้างอิง [9]</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c>
          <w:tcPr>
            <w:tcW w:type="dxa" w:w="2160"/>
          </w:tcPr>
          <w:p>
            <w:r>
              <w:rPr>
                <w:sz w:val="32"/>
              </w:rPr>
              <w:t>เกนวงควบคุมกำลังรีแอกทีฟ อ้างอิง [9]</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c>
          <w:tcPr>
            <w:tcW w:type="dxa" w:w="2160"/>
          </w:tcPr>
          <w:p>
            <w:r>
              <w:rPr>
                <w:sz w:val="32"/>
              </w:rPr>
              <w:t>เกนวงควบคุมกระแสชั้นใน อ้างอิง [8], [9]</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c>
          <w:tcPr>
            <w:tcW w:type="dxa" w:w="2160"/>
          </w:tcPr>
          <w:p>
            <w:r>
              <w:rPr>
                <w:sz w:val="32"/>
              </w:rPr>
              <w:t>พารามิเตอร์ VSG inertia อ้างอิง [10]</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c>
          <w:tcPr>
            <w:tcW w:type="dxa" w:w="2160"/>
          </w:tcPr>
          <w:p>
            <w:r>
              <w:rPr>
                <w:sz w:val="32"/>
              </w:rPr>
              <w:t>พารามิเตอร์ Droop 5% อ้างอิง [10]</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c>
          <w:tcPr>
            <w:tcW w:type="dxa" w:w="2160"/>
          </w:tcPr>
          <w:p>
            <w:r>
              <w:rPr>
                <w:sz w:val="32"/>
              </w:rPr>
              <w:t>วงควบคุม Q-V อ้างอิง [10]</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c>
          <w:tcPr>
            <w:tcW w:type="dxa" w:w="2160"/>
          </w:tcPr>
          <w:p>
            <w:r>
              <w:rPr>
                <w:sz w:val="32"/>
              </w:rPr>
              <w:t>วงควบคุมแรงดัน GFM อ้างอิง [10]</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c>
          <w:tcPr>
            <w:tcW w:type="dxa" w:w="2160"/>
          </w:tcPr>
          <w:p>
            <w:r>
              <w:rPr>
                <w:sz w:val="32"/>
              </w:rPr>
              <w:t>พิกัดกำลังแหล่งจ่าย DC</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c>
          <w:tcPr>
            <w:tcW w:type="dxa" w:w="2160"/>
          </w:tcPr>
          <w:p>
            <w:r>
              <w:rPr>
                <w:sz w:val="32"/>
              </w:rPr>
              <w:t>เกณฑ์การป้องกันแรงดันเกิน DC</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type="dxa" w:w="2160"/>
          </w:tcPr>
          <w:p>
            <w:r>
              <w:rPr>
                <w:sz w:val="32"/>
              </w:rPr>
              <w:t>ค่าคงตัวเวลาแหล่งจ่าย DC อ้างอิง [8]</w:t>
            </w:r>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type="dxa" w:w="2160"/>
          </w:tcPr>
          <w:p>
            <w:r>
              <w:rPr>
                <w:sz w:val="32"/>
              </w:rPr>
              <w:t>เกณฑ์ความต่อเนื่องเชิงตัวเลข</w:t>
            </w:r>
          </w:p>
        </w:tc>
      </w:tr>
    </w:tbl>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rP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5657794A" w14:textId="77777777" w:rsidR="00AB2918" w:rsidRDefault="009A1077">
      <w:pPr>
        <w:spacing w:line="320" w:lineRule="exact"/>
        <w:ind w:firstLine="360"/>
        <w:jc w:val="left"/>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74D4F561" w14:textId="77777777" w:rsidR="00B00BFB" w:rsidRDefault="00000000">
      <w:pPr>
        <w:spacing w:line="320" w:lineRule="exact"/>
        <w:ind w:firstLine="360"/>
        <w:jc w:val="left"/>
      </w:pPr>
      <w: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ทุกค่าถูกตรึงก่อนการประเมินชุดอุปกรณ์</w:t>
      </w:r>
    </w:p>
    <w:p w14:paraId="28D680DA" w14:textId="77777777" w:rsidR="00B00BFB" w:rsidRDefault="00000000">
      <w:pPr>
        <w:keepNext/>
        <w:spacing w:before="50" w:after="40"/>
        <w:jc w:val="center"/>
        <w:rPr>
          <w:sz w:val="32"/>
          <w:szCs w:val="32"/>
        </w:rPr>
      </w:pPr>
      <w:r>
        <w:rPr>
          <w:sz w:val="32"/>
        </w:rPr>
        <w:t>ตารางที่ 7 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rPr>
              <w:t>เวลาถือสถานะขั้นต่ำหลังเหตุการณ์ และเวลาล็อกหลังการสั่งการ</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t>พื้น damping ratio ของเกณฑ์คัดกรอง ชุดอุปกรณ์ GFM</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sz w:val="32"/>
        </w:rPr>
        <w:t>9. เหตุการณ์ทดสอบและผลการจำลองในโดเมนเวลา</w:t>
      </w:r>
    </w:p>
    <w:p w14:paraId="78138292" w14:textId="77777777" w:rsidR="00B00BFB" w:rsidRDefault="00000000">
      <w:pPr>
        <w:keepNext/>
        <w:spacing w:before="50" w:after="40"/>
        <w:jc w:val="center"/>
        <w:rPr>
          <w:sz w:val="32"/>
          <w:szCs w:val="32"/>
        </w:rPr>
      </w:pPr>
      <w:r>
        <w:rPr>
          <w:sz w:val="32"/>
        </w:rPr>
        <w:t>ตารางที่ 8 ผลที่วัดได้ของกรณีศึกษา 160 วินาที</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32"/>
                <w:szCs w:val="32"/>
                <w:cs/>
              </w:rPr>
              <w:t>รายการ</w:t>
            </w:r>
          </w:p>
        </w:tc>
        <w:tc>
          <w:tcPr>
            <w:tcW w:w="2306" w:type="dxa"/>
          </w:tcPr>
          <w:p w14:paraId="4FDD71FF" w14:textId="77777777" w:rsidR="00EF64FD" w:rsidRPr="00EF64FD" w:rsidRDefault="00EF64FD">
            <w:pPr>
              <w:jc w:val="center"/>
              <w:rPr>
                <w:b/>
                <w:bCs/>
              </w:rPr>
            </w:pPr>
            <w:r w:rsidRPr="00EF64FD">
              <w:rPr>
                <w:b/>
                <w:bCs/>
                <w:sz w:val="32"/>
                <w:szCs w:val="32"/>
                <w:cs/>
              </w:rPr>
              <w:t>ค่าที่วัดได้</w:t>
            </w:r>
          </w:p>
        </w:tc>
        <w:tc>
          <w:tcPr>
            <w:tcW w:w="1926" w:type="dxa"/>
          </w:tcPr>
          <w:p w14:paraId="7D6B141B" w14:textId="77777777" w:rsidR="00EF64FD" w:rsidRPr="00EF64FD" w:rsidRDefault="00EF64FD">
            <w:pPr>
              <w:jc w:val="center"/>
              <w:rPr>
                <w:b/>
                <w:bCs/>
              </w:rPr>
            </w:pPr>
            <w:r w:rsidRPr="00EF64FD">
              <w:rPr>
                <w:b/>
                <w:bCs/>
                <w:sz w:val="32"/>
                <w:szCs w:val="32"/>
                <w:cs/>
              </w:rPr>
              <w:t>รายการ</w:t>
            </w:r>
          </w:p>
        </w:tc>
        <w:tc>
          <w:tcPr>
            <w:tcW w:w="2410" w:type="dxa"/>
          </w:tcPr>
          <w:p w14:paraId="0FEF5329" w14:textId="77777777" w:rsidR="00EF64FD" w:rsidRPr="00EF64FD" w:rsidRDefault="00EF64FD">
            <w:pPr>
              <w:jc w:val="center"/>
              <w:rPr>
                <w:b/>
                <w:bCs/>
              </w:rPr>
            </w:pPr>
            <w:r w:rsidRPr="00EF64FD">
              <w:rPr>
                <w:b/>
                <w:bCs/>
                <w:sz w:val="32"/>
                <w:szCs w:val="32"/>
                <w:cs/>
              </w:rPr>
              <w:t>ค่าที่วัดได้</w:t>
            </w:r>
          </w:p>
        </w:tc>
      </w:tr>
      <w:tr w:rsidR="00EF64FD" w14:paraId="1A9111EF" w14:textId="77777777" w:rsidTr="00EF64FD">
        <w:trPr>
          <w:jc w:val="center"/>
        </w:trPr>
        <w:tc>
          <w:tcPr>
            <w:tcW w:w="2000" w:type="dxa"/>
          </w:tcPr>
          <w:p w14:paraId="5F99D582" w14:textId="77777777" w:rsidR="00EF64FD" w:rsidRDefault="00EF64FD">
            <w:pPr>
              <w:jc w:val="left"/>
            </w:pPr>
            <w:r>
              <w:rPr>
                <w:sz w:val="32"/>
                <w:szCs w:val="32"/>
                <w:cs/>
              </w:rPr>
              <w:t>ขอบเขตเวลาที่เดินถึง</w:t>
            </w:r>
          </w:p>
        </w:tc>
        <w:tc>
          <w:tcPr>
            <w:tcW w:w="2306" w:type="dxa"/>
          </w:tcPr>
          <w:p>
            <w:pPr>
              <w:jc w:val="center"/>
            </w:pPr>
            <w:r>
              <w:rPr>
                <w:sz w:val="32"/>
              </w:rPr>
              <w:t>160.000 s</w:t>
            </w:r>
          </w:p>
        </w:tc>
        <w:tc>
          <w:tcPr>
            <w:tcW w:w="1926" w:type="dxa"/>
          </w:tcPr>
          <w:p w14:paraId="4F757BD9" w14:textId="77777777" w:rsidR="00EF64FD" w:rsidRDefault="00EF64FD">
            <w:pPr>
              <w:jc w:val="left"/>
            </w:pPr>
            <w:r>
              <w:rPr>
                <w:sz w:val="32"/>
                <w:szCs w:val="32"/>
                <w:cs/>
              </w:rPr>
              <w:t>จุดตัวอย่างที่ยอมรับ</w:t>
            </w:r>
          </w:p>
        </w:tc>
        <w:tc>
          <w:tcPr>
            <w:tcW w:w="2410" w:type="dxa"/>
          </w:tcPr>
          <w:p w14:paraId="691D0D38" w14:textId="77777777" w:rsidR="00EF64FD" w:rsidRDefault="00EF64FD">
            <w:pPr>
              <w:jc w:val="center"/>
            </w:pPr>
            <w:r>
              <w:rPr>
                <w:sz w:val="32"/>
                <w:szCs w:val="32"/>
                <w:cs/>
              </w:rPr>
              <w:t>2288</w:t>
            </w:r>
          </w:p>
        </w:tc>
      </w:tr>
      <w:tr w:rsidR="00EF64FD" w14:paraId="52A49D1D" w14:textId="77777777" w:rsidTr="00EF64FD">
        <w:trPr>
          <w:jc w:val="center"/>
        </w:trPr>
        <w:tc>
          <w:tcPr>
            <w:tcW w:w="2000" w:type="dxa"/>
          </w:tcPr>
          <w:p>
            <w:r>
              <w:rPr>
                <w:sz w:val="32"/>
              </w:rPr>
              <w:t>สถานะการจำลอง</w:t>
            </w:r>
          </w:p>
        </w:tc>
        <w:tc>
          <w:tcPr>
            <w:tcW w:w="2306" w:type="dxa"/>
          </w:tcPr>
          <w:p>
            <w:r>
              <w:rPr>
                <w:sz w:val="32"/>
              </w:rPr>
              <w:t>ลู่เข้าสมบูรณ์</w:t>
            </w:r>
          </w:p>
        </w:tc>
        <w:tc>
          <w:tcPr>
            <w:tcW w:w="1926" w:type="dxa"/>
          </w:tcPr>
          <w:p w14:paraId="25479FE8" w14:textId="77777777" w:rsidR="00EF64FD" w:rsidRDefault="00EF64FD">
            <w:pPr>
              <w:jc w:val="left"/>
            </w:pPr>
            <w:r>
              <w:rPr>
                <w:sz w:val="32"/>
                <w:szCs w:val="32"/>
                <w:cs/>
              </w:rPr>
              <w:t>ขั้นที่ยอมรับด้วยพื้นขั้นต่ำ</w:t>
            </w:r>
          </w:p>
        </w:tc>
        <w:tc>
          <w:tcPr>
            <w:tcW w:w="2410" w:type="dxa"/>
          </w:tcPr>
          <w:p w14:paraId="47CE5BCD" w14:textId="77777777" w:rsidR="00EF64FD" w:rsidRDefault="00EF64FD">
            <w:pPr>
              <w:jc w:val="center"/>
            </w:pPr>
            <w:r>
              <w:rPr>
                <w:sz w:val="32"/>
                <w:szCs w:val="32"/>
                <w:cs/>
              </w:rPr>
              <w:t>0</w:t>
            </w:r>
          </w:p>
        </w:tc>
      </w:tr>
      <w:tr w:rsidR="00EF64FD" w14:paraId="643D694E" w14:textId="77777777" w:rsidTr="00EF64FD">
        <w:trPr>
          <w:jc w:val="center"/>
        </w:trPr>
        <w:tc>
          <w:tcPr>
            <w:tcW w:w="2000" w:type="dxa"/>
          </w:tcPr>
          <w:p w14:paraId="102C52FB" w14:textId="77777777" w:rsidR="00EF64FD" w:rsidRDefault="00EF64FD">
            <w:pPr>
              <w:jc w:val="left"/>
            </w:pPr>
            <w:r>
              <w:rPr>
                <w:sz w:val="32"/>
                <w:szCs w:val="32"/>
                <w:cs/>
              </w:rPr>
              <w:t>เวลาปิดเบรกเกอร์ SG</w:t>
            </w:r>
          </w:p>
        </w:tc>
        <w:tc>
          <w:tcPr>
            <w:tcW w:w="2306" w:type="dxa"/>
          </w:tcPr>
          <w:p>
            <w:pPr>
              <w:jc w:val="center"/>
            </w:pPr>
            <w:r>
              <w:rPr>
                <w:sz w:val="32"/>
              </w:rPr>
              <w:t>102.363 s</w:t>
            </w:r>
          </w:p>
        </w:tc>
        <w:tc>
          <w:tcPr>
            <w:tcW w:w="1926" w:type="dxa"/>
          </w:tcPr>
          <w:p w14:paraId="0DA956D0" w14:textId="77777777" w:rsidR="00EF64FD" w:rsidRDefault="00EF64FD">
            <w:pPr>
              <w:jc w:val="left"/>
            </w:pPr>
            <w:r>
              <w:rPr>
                <w:sz w:val="32"/>
                <w:szCs w:val="32"/>
                <w:cs/>
              </w:rPr>
              <w:t>เวลาคืนมุมอ้างอิงให้ SG</w:t>
            </w:r>
          </w:p>
        </w:tc>
        <w:tc>
          <w:tcPr>
            <w:tcW w:w="2410" w:type="dxa"/>
          </w:tcPr>
          <w:p>
            <w:pPr>
              <w:jc w:val="center"/>
            </w:pPr>
            <w:r>
              <w:rPr>
                <w:sz w:val="32"/>
              </w:rPr>
              <w:t>116.238 s</w:t>
            </w:r>
          </w:p>
        </w:tc>
      </w:tr>
      <w:tr w:rsidR="00EF64FD" w14:paraId="6B8FCC2C" w14:textId="77777777" w:rsidTr="00EF64FD">
        <w:trPr>
          <w:jc w:val="center"/>
        </w:trPr>
        <w:tc>
          <w:tcPr>
            <w:tcW w:w="2000" w:type="dxa"/>
          </w:tcPr>
          <w:p w14:paraId="22FDC069" w14:textId="77777777" w:rsidR="00EF64FD" w:rsidRDefault="00EF64FD">
            <w:pPr>
              <w:jc w:val="left"/>
            </w:pPr>
            <w:r>
              <w:rPr>
                <w:sz w:val="32"/>
                <w:szCs w:val="32"/>
                <w:cs/>
              </w:rPr>
              <w:t>GFM สูงสุดพร้อมกัน</w:t>
            </w:r>
          </w:p>
        </w:tc>
        <w:tc>
          <w:tcPr>
            <w:tcW w:w="2306" w:type="dxa"/>
          </w:tcPr>
          <w:p w14:paraId="7BCB4545" w14:textId="77777777" w:rsidR="00EF64FD" w:rsidRDefault="00EF64FD">
            <w:pPr>
              <w:jc w:val="center"/>
            </w:pPr>
            <w:r>
              <w:rPr>
                <w:sz w:val="32"/>
                <w:szCs w:val="32"/>
                <w:cs/>
              </w:rPr>
              <w:t>2</w:t>
            </w:r>
          </w:p>
        </w:tc>
        <w:tc>
          <w:tcPr>
            <w:tcW w:w="1926" w:type="dxa"/>
          </w:tcPr>
          <w:p w14:paraId="402D730F" w14:textId="77777777" w:rsidR="00EF64FD" w:rsidRDefault="00EF64FD">
            <w:pPr>
              <w:jc w:val="left"/>
            </w:pPr>
            <w:r>
              <w:rPr>
                <w:sz w:val="32"/>
                <w:szCs w:val="32"/>
                <w:cs/>
              </w:rPr>
              <w:t>GFM เมื่อจบการรัน</w:t>
            </w:r>
          </w:p>
        </w:tc>
        <w:tc>
          <w:tcPr>
            <w:tcW w:w="2410" w:type="dxa"/>
          </w:tcPr>
          <w:p w14:paraId="2AA3DE31" w14:textId="77777777" w:rsidR="00EF64FD" w:rsidRDefault="00EF64FD">
            <w:pPr>
              <w:jc w:val="center"/>
            </w:pPr>
            <w:r>
              <w:rPr>
                <w:sz w:val="32"/>
                <w:szCs w:val="32"/>
                <w:cs/>
              </w:rPr>
              <w:t>0</w:t>
            </w:r>
          </w:p>
        </w:tc>
      </w:tr>
      <w:tr w:rsidR="00EF64FD" w14:paraId="07895B5B" w14:textId="77777777" w:rsidTr="00EF64FD">
        <w:trPr>
          <w:jc w:val="center"/>
        </w:trPr>
        <w:tc>
          <w:tcPr>
            <w:tcW w:w="2000" w:type="dxa"/>
          </w:tcPr>
          <w:p w14:paraId="0698B40A" w14:textId="77777777" w:rsidR="00EF64FD" w:rsidRDefault="00EF64FD">
            <w:pPr>
              <w:jc w:val="left"/>
            </w:pPr>
            <w:r>
              <w:rPr>
                <w:sz w:val="32"/>
              </w:rPr>
              <w:t>การสั่งการ เพิ่ม GFM / ปฏิเสธ</w:t>
            </w:r>
          </w:p>
        </w:tc>
        <w:tc>
          <w:tcPr>
            <w:tcW w:w="2306" w:type="dxa"/>
          </w:tcPr>
          <w:p w14:paraId="2B3FA772" w14:textId="77777777" w:rsidR="00EF64FD" w:rsidRDefault="00EF64FD">
            <w:pPr>
              <w:jc w:val="left"/>
            </w:pPr>
            <w:r>
              <w:rPr>
                <w:sz w:val="32"/>
                <w:szCs w:val="32"/>
                <w:cs/>
              </w:rPr>
              <w:t>1 / 0</w:t>
            </w:r>
          </w:p>
        </w:tc>
        <w:tc>
          <w:tcPr>
            <w:tcW w:w="1926" w:type="dxa"/>
          </w:tcPr>
          <w:p w14:paraId="440782A7" w14:textId="77777777" w:rsidR="00EF64FD" w:rsidRDefault="00EF64FD">
            <w:pPr>
              <w:jc w:val="left"/>
            </w:pPr>
            <w:r>
              <w:rPr>
                <w:sz w:val="32"/>
              </w:rPr>
              <w:t>การสั่งการ ปลด GFM / ปฏิเสธ</w:t>
            </w:r>
          </w:p>
        </w:tc>
        <w:tc>
          <w:tcPr>
            <w:tcW w:w="2410" w:type="dxa"/>
          </w:tcPr>
          <w:p w14:paraId="6F2C0A05" w14:textId="77777777" w:rsidR="00EF64FD" w:rsidRDefault="00EF64FD">
            <w:pPr>
              <w:jc w:val="left"/>
            </w:pPr>
            <w:r>
              <w:rPr>
                <w:sz w:val="32"/>
                <w:szCs w:val="32"/>
                <w:cs/>
              </w:rPr>
              <w:t>1 / 0</w:t>
            </w:r>
          </w:p>
        </w:tc>
      </w:tr>
      <w:tr w:rsidR="00EF64FD" w14:paraId="01A1CBB4" w14:textId="77777777" w:rsidTr="00EF64FD">
        <w:trPr>
          <w:jc w:val="center"/>
        </w:trPr>
        <w:tc>
          <w:tcPr>
            <w:tcW w:w="2000" w:type="dxa"/>
          </w:tcPr>
          <w:p w14:paraId="3B825726" w14:textId="77777777" w:rsidR="00EF64FD" w:rsidRDefault="00EF64FD">
            <w:pPr>
              <w:jc w:val="left"/>
            </w:pPr>
            <w:r>
              <w:rPr>
                <w:sz w:val="32"/>
                <w:szCs w:val="32"/>
                <w:cs/>
              </w:rPr>
              <w:t>ความถี่เฉลี่ยเมื่อจบการรัน</w:t>
            </w:r>
          </w:p>
        </w:tc>
        <w:tc>
          <w:tcPr>
            <w:tcW w:w="2306" w:type="dxa"/>
          </w:tcPr>
          <w:p w14:paraId="12562346" w14:textId="77777777" w:rsidR="00EF64FD" w:rsidRDefault="00EF64FD">
            <w:pPr>
              <w:jc w:val="center"/>
            </w:pPr>
            <w:r>
              <w:rPr>
                <w:sz w:val="32"/>
                <w:szCs w:val="32"/>
                <w:cs/>
              </w:rPr>
              <w:t>59.999958 Hz</w:t>
            </w:r>
          </w:p>
        </w:tc>
        <w:tc>
          <w:tcPr>
            <w:tcW w:w="1926" w:type="dxa"/>
          </w:tcPr>
          <w:p w14:paraId="0D93FF70" w14:textId="77777777" w:rsidR="00EF64FD" w:rsidRDefault="00EF64FD">
            <w:pPr>
              <w:jc w:val="left"/>
            </w:pPr>
            <w:r>
              <w:rPr>
                <w:sz w:val="32"/>
                <w:szCs w:val="32"/>
                <w:cs/>
              </w:rPr>
              <w:t>แรงดันบัสคอนเวอร์เตอร์เมื่อจบ</w:t>
            </w:r>
          </w:p>
        </w:tc>
        <w:tc>
          <w:tcPr>
            <w:tcW w:w="2410" w:type="dxa"/>
          </w:tcPr>
          <w:p w14:paraId="01BB1859" w14:textId="77777777" w:rsidR="00EF64FD" w:rsidRDefault="00EF64FD">
            <w:pPr>
              <w:jc w:val="left"/>
            </w:pPr>
            <w:r>
              <w:rPr>
                <w:sz w:val="32"/>
                <w:szCs w:val="32"/>
                <w:cs/>
              </w:rPr>
              <w:t>0.966733–1.057534 pu</w:t>
            </w:r>
          </w:p>
        </w:tc>
      </w:tr>
      <w:tr w:rsidR="00EF64FD" w14:paraId="5869D167" w14:textId="77777777" w:rsidTr="00EF64FD">
        <w:trPr>
          <w:jc w:val="center"/>
        </w:trPr>
        <w:tc>
          <w:tcPr>
            <w:tcW w:w="2000" w:type="dxa"/>
          </w:tcPr>
          <w:p w14:paraId="371062CE" w14:textId="77777777" w:rsidR="00EF64FD" w:rsidRDefault="00EF64FD">
            <w:pPr>
              <w:jc w:val="left"/>
            </w:pPr>
            <w:r>
              <w:rPr>
                <w:sz w:val="32"/>
                <w:szCs w:val="32"/>
                <w:cs/>
              </w:rPr>
              <w:t>ความถี่เฉลี่ยนอกหน้าต่างฟอลต์</w:t>
            </w:r>
          </w:p>
        </w:tc>
        <w:tc>
          <w:tcPr>
            <w:tcW w:w="2306" w:type="dxa"/>
          </w:tcPr>
          <w:p w14:paraId="0AAB3BF8" w14:textId="77777777" w:rsidR="00EF64FD" w:rsidRDefault="00EF64FD">
            <w:pPr>
              <w:jc w:val="left"/>
            </w:pPr>
            <w:r>
              <w:rPr>
                <w:sz w:val="32"/>
                <w:szCs w:val="32"/>
                <w:cs/>
              </w:rPr>
              <w:t>59.240121–60.114155 Hz</w:t>
            </w:r>
          </w:p>
        </w:tc>
        <w:tc>
          <w:tcPr>
            <w:tcW w:w="1926" w:type="dxa"/>
          </w:tcPr>
          <w:p w14:paraId="6628563C" w14:textId="77777777" w:rsidR="00EF64FD" w:rsidRDefault="00EF64FD">
            <w:pPr>
              <w:jc w:val="left"/>
            </w:pPr>
            <w:r>
              <w:rPr>
                <w:sz w:val="32"/>
                <w:szCs w:val="32"/>
                <w:cs/>
              </w:rPr>
              <w:t>ยอดขณะฟอลต์</w:t>
            </w:r>
          </w:p>
        </w:tc>
        <w:tc>
          <w:tcPr>
            <w:tcW w:w="2410" w:type="dxa"/>
          </w:tcPr>
          <w:p w14:paraId="34811E07" w14:textId="77777777" w:rsidR="00EF64FD" w:rsidRDefault="00EF64FD">
            <w:pPr>
              <w:jc w:val="center"/>
            </w:pPr>
            <w:r>
              <w:rPr>
                <w:sz w:val="32"/>
                <w:szCs w:val="32"/>
                <w:cs/>
              </w:rPr>
              <w:t>60.676026 Hz</w:t>
            </w:r>
          </w:p>
        </w:tc>
      </w:tr>
      <w:tr w:rsidR="00EF64FD" w14:paraId="28C5A677" w14:textId="77777777" w:rsidTr="00EF64FD">
        <w:trPr>
          <w:jc w:val="center"/>
        </w:trPr>
        <w:tc>
          <w:tcPr>
            <w:tcW w:w="2000" w:type="dxa"/>
          </w:tcPr>
          <w:p w14:paraId="6E93349B" w14:textId="77777777" w:rsidR="00EF64FD" w:rsidRDefault="00EF64FD">
            <w:pPr>
              <w:jc w:val="left"/>
            </w:pPr>
            <w:r>
              <w:rPr>
                <w:sz w:val="32"/>
                <w:szCs w:val="32"/>
                <w:cs/>
              </w:rPr>
              <w:t>แรงดันนอกหน้าต่างฟอลต์</w:t>
            </w:r>
          </w:p>
        </w:tc>
        <w:tc>
          <w:tcPr>
            <w:tcW w:w="2306" w:type="dxa"/>
          </w:tcPr>
          <w:p w14:paraId="2056167F" w14:textId="77777777" w:rsidR="00EF64FD" w:rsidRDefault="00EF64FD">
            <w:pPr>
              <w:jc w:val="left"/>
            </w:pPr>
            <w:r>
              <w:rPr>
                <w:sz w:val="32"/>
                <w:szCs w:val="32"/>
                <w:cs/>
              </w:rPr>
              <w:t>0.550775–1.137835 pu</w:t>
            </w:r>
          </w:p>
        </w:tc>
        <w:tc>
          <w:tcPr>
            <w:tcW w:w="1926" w:type="dxa"/>
          </w:tcPr>
          <w:p w14:paraId="21A9C71A" w14:textId="77777777" w:rsidR="00EF64FD" w:rsidRDefault="00EF64FD">
            <w:pPr>
              <w:jc w:val="left"/>
            </w:pPr>
            <w:r>
              <w:rPr>
                <w:sz w:val="32"/>
                <w:szCs w:val="32"/>
                <w:cs/>
              </w:rPr>
              <w:t>ยอดขณะฟอลต์</w:t>
            </w:r>
          </w:p>
        </w:tc>
        <w:tc>
          <w:tcPr>
            <w:tcW w:w="2410" w:type="dxa"/>
          </w:tcPr>
          <w:p w14:paraId="0947F66F" w14:textId="77777777" w:rsidR="00EF64FD" w:rsidRDefault="00EF64FD">
            <w:pPr>
              <w:jc w:val="left"/>
            </w:pPr>
            <w:r>
              <w:rPr>
                <w:sz w:val="32"/>
                <w:szCs w:val="32"/>
                <w:cs/>
              </w:rPr>
              <w:t>0.258035–1.863839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ระบบเกาะยังคงรักษาเสถียรภาพไว้ได้ ต่อมาเงื่อนไขการซิงโครไนซ์อนุญาตให้เบรกเกอร์ของ SG1 สับปิดกลับเข้าระบบที่เวลา 102.363 s และ IBR2 สลับคืนสู่โหมด GFL ตามเกณฑ์ความต่อเนื่องที่เวลา 116.238 s</w:t>
      </w:r>
    </w:p>
    <w:p w14:paraId="715DD461" w14:textId="77777777" w:rsidR="00B00BFB" w:rsidRDefault="00000000">
      <w:pPr>
        <w:spacing w:before="50" w:after="40"/>
        <w:jc w:val="left"/>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left"/>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left"/>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left"/>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sz w:val="32"/>
        </w:rPr>
        <w:t>10. การเปรียบเทียบผลการตอบสนองของระบบ</w:t>
      </w:r>
    </w:p>
    <w:p w14:paraId="16AA328C" w14:textId="77777777" w:rsidR="00AB2918" w:rsidRDefault="009A1077">
      <w:pPr>
        <w:spacing w:line="320" w:lineRule="exact"/>
        <w:ind w:firstLine="360"/>
        <w:jc w:val="left"/>
      </w:pPr>
      <w:r>
        <w:rPr>
          <w:sz w:val="32"/>
          <w:szCs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ภายใต้โครงข่ายและลำดับเหตุการณ์รบกวนชุดเดียวกันบนขอบเขตเวลา 160.000 s</w:t>
      </w:r>
    </w:p>
    <w:p w14:paraId="1A61E12E" w14:textId="77777777" w:rsidR="007863B5" w:rsidRDefault="009A1077" w:rsidP="007863B5">
      <w:pPr>
        <w:spacing w:line="320" w:lineRule="exact"/>
        <w:ind w:firstLine="360"/>
        <w:jc w:val="left"/>
      </w:pPr>
      <w:r>
        <w:rPr>
          <w:sz w:val="32"/>
          <w:szCs w:val="32"/>
        </w:rP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rPr>
        <w:t>10.1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left"/>
      </w:pPr>
      <w:r>
        <w:t>โดย  คือแอดมิตแตนซ์ของโหลดที่จุดทำงาน PF และ  เป็นฟังก์ชันบ่งชี้ที่มีค่า 1 เฉพาะช่วงที่เครือข่ายอยู่ในสถานะ fault พจน์  จึงคือแอดมิตแตนซ์ของ fault ที่ประทับลงบัสเดียวกัน ลำดับเหตุการณ์ชุดนี้ไม่มีการเพิ่มโหลด ตัวคูณ  จึงคงค่าตลอดการรัน และหน้าต่าง – วินาที รวมกระแส fault ไว้ตามที่เกิดขึ้นจริง การทวนสอบความถูกต้องของสภาวะเริ่มต้นกำหนดที่  คือค่าที่คำนวณย้อนได้ต้องเท่ากับข้อมูลโหลดของกรณีศึกษาและแรงดัน PF ภายใน  pu ซึ่งได้  pu,  pu และ  pu ตรงทุกหลัก ทั้งสองกรณี</w:t>
      </w:r>
    </w:p>
    <w:p w14:paraId="6ED44EA7" w14:textId="77777777" w:rsidR="00AB2918" w:rsidRDefault="009A1077">
      <w:pPr>
        <w:spacing w:line="320" w:lineRule="exact"/>
        <w:ind w:firstLine="360"/>
        <w:jc w:val="left"/>
      </w:pPr>
      <w:r>
        <w:t>แผงที่ (d) แสดงความถี่ที่บัส 9 ซึ่งคำนวณจากอนุพันธ์ของมุมแรงดันบัส ในกรณีสลับโหมด ระบบสามารถรักษาระดับแรงดันและเสถียรภาพความถี่ไว้ได้ ขณะที่กรณีตรึงโหมด GFL ถูกใช้เป็นกรณีวินิจฉัย เพื่อเปรียบเทียบพฤติกรรมของโครงข่ายเมื่อไม่มีการเปลี่ยนบทบาทของอุปกรณ์ ซึ่งแสดงให้เห็นว่าการทำงานแบบ GFL เพียงอย่างเดียวโดยไม่มีแหล่งสร้างแรงดันหลัก จะไม่สามารถรองรับสภาวะการทำงานของระบบแยกตัวเป็นเกาะได้อย่างมีเสถียรภาพ</w:t>
      </w:r>
    </w:p>
    <w:p w14:paraId="61DA46C4" w14:textId="61913D66" w:rsidR="00AB2918" w:rsidRDefault="00983837">
      <w:pPr>
        <w:keepNext/>
        <w:spacing w:before="50" w:after="40"/>
        <w:jc w:val="left"/>
      </w:pPr>
      <w:r>
        <w:rPr>
          <w:noProof/>
          <w:sz w:val="32"/>
          <w:szCs w:val="32"/>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rPr>
          <w:sz w:val="32"/>
        </w:rPr>
        <w:t>จากรูปที่ 8 ในช่วงระบบแยกตัวเป็นเกาะ (t = 20.000–100.000 s) กรณีสลับโหมดสามารถรักษาระดับแรงดันบัส 9 ให้อยู่ในช่วง 0.95–1.05 pu และควบคุมความถี่ให้กลับเข้าสู่สภาวะสมดุล ในขณะที่กรณีตรึงโหมด GFL เกิดการแกว่งของแรงดันและกำลังไฟฟ้าอย่างรุนแรง และไม่สามารถซิงโครไนซ์เพื่อรับ SG1 กลับเข้าระบบได้สำเร็จ</w:t>
      </w:r>
    </w:p>
    <w:p w14:paraId="2EFFABFB" w14:textId="77777777" w:rsidR="00AB2918" w:rsidRDefault="009A1077">
      <w:pPr>
        <w:spacing w:line="320" w:lineRule="exact"/>
        <w:ind w:firstLine="360"/>
        <w:jc w:val="left"/>
      </w:pPr>
      <w:r>
        <w:rPr>
          <w:sz w:val="32"/>
        </w:rP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กลับเข้าระบบได้ตามเงื่อนไขการซิงโครไนซ์ที่เวลา 102.363 s</w:t>
      </w:r>
    </w:p>
    <w:p w14:paraId="217579ED" w14:textId="77777777" w:rsidR="00AB2918" w:rsidRDefault="009A1077">
      <w:pPr>
        <w:spacing w:line="320" w:lineRule="exact"/>
        <w:ind w:firstLine="360"/>
        <w:jc w:val="left"/>
      </w:pPr>
      <w:r>
        <w:t>ความถี่ที่บัส 9 ในช่วงระบบแยกตัวเป็นเกาะของทั้งสองกรณีเป็นไปตามช่วงค่าที่แสดงในรูปที่ 8(d) โดยกรณีสลับโหมดสามารถรักษาระดับแรงดัน กำลังไฟฟ้า และความถี่ที่บัสโหลดให้อยู่ในสภาวะสมดุล และทำให้เงื่อนไขทางมุมและแรงดันมีความพร้อมตามเกณฑ์การซิงโครไนซ์สำหรับการต่อคืน SG1 กลับเข้าระบบ</w:t>
      </w:r>
    </w:p>
    <w:p w14:paraId="32D3465A" w14:textId="77777777" w:rsidR="00AB2918" w:rsidRDefault="009A1077">
      <w:pPr>
        <w:keepNext/>
        <w:spacing w:before="80" w:after="30"/>
        <w:jc w:val="left"/>
      </w:pPr>
      <w:r>
        <w:rPr>
          <w:sz w:val="32"/>
        </w:rPr>
        <w:t>11. สรุปผลการดำเนินงานโครงงาน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pPr>
              <w:jc w:val="left"/>
            </w:pPr>
            <w:r>
              <w:rPr>
                <w:sz w:val="32"/>
              </w:rPr>
              <w:t>สั่งการสลับโหมดได้อย่างถูกต้องตามสภาวะของระบบ</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pPr>
              <w:jc w:val="left"/>
            </w:pPr>
            <w:r>
              <w:rPr>
                <w:sz w:val="32"/>
              </w:rPr>
              <w:t>ระบบเกาะมีเสถียรภาพและสามารถรับ SG1 กลับเข้าระบบได้สำเร็จ</w:t>
            </w:r>
          </w:p>
        </w:tc>
      </w:tr>
    </w:tbl>
    <w:p w14:paraId="27FF0331" w14:textId="77777777" w:rsidR="00AB2918" w:rsidRDefault="009A1077">
      <w:pPr>
        <w:keepNext/>
        <w:spacing w:before="80" w:after="30"/>
        <w:jc w:val="left"/>
      </w:pPr>
      <w:r>
        <w:t>12. ข้อจำกัดและขอบเขตของงาน</w:t>
      </w:r>
    </w:p>
    <w:p w14:paraId="7D2A3F58" w14:textId="77777777" w:rsidR="00AB2918" w:rsidRDefault="009A1077">
      <w:pPr>
        <w:spacing w:line="320" w:lineRule="exact"/>
        <w:ind w:firstLine="360"/>
        <w:jc w:val="left"/>
      </w:pPr>
      <w:r>
        <w:t>แบบจำลองที่ใช้ในการศึกษานี้เป็นระบบสมดุลสามเฟสในกรอบ RMS phasor จึงไม่ครอบคลุมปรากฏการณ์ทรานเชียนต์เชิงแม่เหล็กไฟฟ้าความถี่สูง และสภาวะความไม่สมดุลของระบบไฟฟ้ากำลัง การทดสอบและผลลัพธ์ผูกกับระบบทดสอบ IEEE 14-bus และลำดับเหตุการณ์รบกวนที่กำหนดในกรณีศึกษา โดยยังไม่ได้ประเมินความสอดคล้องกับข้อกำหนดการเชื่อมต่อระบบโครงข่าย (Grid Codes) ครบทุกมิติ หรือการประยุกต์ใช้ในระบบที่มีขนาดใหญ่กว่า</w:t>
      </w:r>
    </w:p>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r>
        <w:t>1.</w:t>
        <w:tab/>
        <w:t>ได้แบบจำลองอุปกรณ์ IBR สำหรับการทำงานแบบ GFL (10 สถานะ) และ GFM (11 สถานะ) ภายในอุปกรณ์ชุดเดียวกัน</w:t>
      </w:r>
    </w:p>
    <w:p>
      <w:r>
        <w:t>2.</w:t>
        <w:tab/>
        <w:t>ได้กลไกตัวกำกับอัตโนมัติสำหรับการตัดสินใจสลับโหมดตามสภาวะแรงดันและความถี่ของระบบ พร้อมการถ่ายโอนสถานะอย่างต่อเนื่อง</w:t>
      </w:r>
    </w:p>
    <w:p>
      <w:r>
        <w:t>3.</w:t>
        <w:tab/>
        <w:t>ได้ผลการทดสอบเชิงพลวัตบนระบบ IEEE 14-bus ภายใต้เหตุการณ์ปลดเครื่องกำเนิดไฟฟ้า เกิดฟอลต์ และการต่อคืนเครื่องกำเนิดไฟฟ้าซิงโครนัส</w:t>
      </w:r>
    </w:p>
    <w:p>
      <w:r>
        <w:t>4.</w:t>
        <w:tab/>
        <w:t>ได้ผลการเปรียบเทียบเชิงวิศวกรรมระหว่างกรณีสลับโหมดกับกรณีตรึงโหมด GFL เพื่อเป็นแนวทางในการศึกษาการรักษาเสถียรภาพระบบไฟฟ้ากำลัง</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t>1.</w:t>
        <w:tab/>
        <w:t>การสูญเสียเครื่องกำเนิดไฟฟ้าซิงโครนัสหลัก (SG1) โดยไม่มีอินเวอร์เตอร์ตัวใดทำหน้าที่สร้างโครงข่าย (GFM) ส่งผลให้ระบบสูญเสียเสถียรภาพเชิงมุม (Angle Instability) และแรงดันพังทลายทันที ซึ่งเป็นข้อจำกัดทางกายภาพของการทำงานในระบบไฟฟ้ากำลัง</w:t>
      </w:r>
    </w:p>
    <w:p w14:paraId="08AF66B0" w14:textId="77777777" w:rsidR="00AB2918" w:rsidRDefault="009A1077">
      <w:pPr>
        <w:tabs>
          <w:tab w:val="left" w:pos="518"/>
        </w:tabs>
        <w:spacing w:line="320" w:lineRule="exact"/>
        <w:ind w:left="518" w:hanging="518"/>
        <w:jc w:val="left"/>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t>3.</w:t>
        <w:tab/>
        <w:t>ชุดอุปกรณ์ GFM ที่ผ่านการวิเคราะห์เสถียรภาพสัญญาณขนาดเล็ก ไม่ได้รับประกันว่าวิถีการตอบสนองแบบไม่เชิงเส้นจะไปถึงจุดสมดุลนั้นได้เสมอ เนื่องจากพฤติกรรมทรานเชียนต์และข้อจำกัดของกระแสอุปกรณ์</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t>1.</w:t>
        <w:tab/>
        <w:t>กำหนดเกณฑ์ความปลอดภัยของมุมอ้างอิง: ตรวจสอบความพร้อมของแหล่งจ่ายที่สามารถทำหน้าที่สร้างโครงข่าย (GFM) ก่อนเกิดการแยกตัวเป็นเกาะ เพื่อป้องกันการเกิดภาวะสูญเสียเสถียรภาพทางแรงดันและมุมเฟส</w:t>
      </w:r>
    </w:p>
    <w:p w14:paraId="187F56BD" w14:textId="77777777" w:rsidR="00AB2918" w:rsidRDefault="009A1077">
      <w:pPr>
        <w:tabs>
          <w:tab w:val="left" w:pos="518"/>
        </w:tabs>
        <w:spacing w:line="320" w:lineRule="exact"/>
        <w:ind w:left="518" w:hanging="518"/>
        <w:jc w:val="left"/>
      </w:pPr>
      <w:r>
        <w:t>2.</w:t>
        <w:tab/>
        <w:t>ใช้เวกเตอร์สถานะขนาดคงที่ 17 สถานะ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t>4.</w:t>
        <w:tab/>
        <w:t>ประยุกต์ใช้วิธีคำนวณแบบสี่เหลี่ยมคางหมูอิมพลิซิตร่วมกับการควบคุมขนาดขั้นเวลาอัตโนมัติ และการจัดตำแหน่งเหตุการณ์ให้ตรงกับขอบเขตขั้นเวลา (Event-to-Time-step Boundary Alignment) เพื่อรักษาความต่อเนื่องทางคณิตศาสตร์และเสถียรภาพเชิงตัวเลขของการจำลอง</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t>2.</w:t>
        <w:tab/>
        <w:t>ทดสอบกรอบการคัดเลือกชุด GFM บนระบบที่ใหญ่กว่า IEEE 14-bus และมีจำนวน IBR มากกว่าสี่ตัว เพื่อประเมินการขยายขนาดของการพิจารณาชุดอุปกรณ์ทางเลือก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t>3.</w:t>
        <w:tab/>
        <w:t>พัฒนาเกณฑ์คัดเลือกชุดอุปกรณ์ GFM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