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กรณีศึกษาถูกออกแบบให้เกิดการสูญเสียเครื่องกำเนิดไฟฟ้าซิงโครนัส (SG) การเกิดฟอลต์ที่บัส 9 และการต่อคืน SG กลับเข้าระบบ เพื่อแสดงให้เห็นความจำเป็นของการสลับบทบาทของอินเวอร์เตอร์อย่างชัดเจน หากไม่มีแหล่งสร้างแรงดัน (voltage-forming) หลัง SG ถูกปลด โครงข่ายไฟฟ้าจะไม่สามารถรักษามุมอ้างอิงและระดับแรงดันไว้ได้</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67443BD2" w14:textId="77777777" w:rsidR="00AB2918" w:rsidRDefault="009A1077">
      <w:pPr>
        <w:spacing w:before="60" w:line="320" w:lineRule="exact"/>
        <w:ind w:firstLine="360"/>
        <w:jc w:val="left"/>
      </w:pPr>
      <w:r>
        <w:rPr>
          <w:sz w:val="32"/>
          <w:szCs w:val="32"/>
        </w:rP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rPr>
                <w:sz w:val="32"/>
              </w:rPr>
              <w:t>อัตราการสลายของรากที่ช้าที่สุดของชุด โครงแบบที่เลือก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rPr>
        <w:t>ระบบสมการ DAE ของเครือข่ายเขียนในรูป x_dot(t) = f(x(t), y(t), u(t), m(t)) สำหรับสมการเชิงอนุพันธ์ และ 0 = g(x(t), y(t), m(t)) = Y_net(t) V(t) - I_bus(x(t), V(t), m(t)) สำหรับสมการพีชคณิตทางโครงข่าย โดย x(t) คือตัวแปรสถานะของ SG และ IBR, y(t) คือแรงดันเชิงพีชคณิตของบัส, u(t) คือสัญญาณควบคุมภายนอก และ m(t) คือเวกเตอร์ระบุโหมดการทำงาน (GFL/GFM) ของอินเวอร์เตอร์</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 เพื่อรักษาความถูกต้องของโครงสร้างแบบจำลองทางคณิตศาสตร์</w:t>
      </w:r>
    </w:p>
    <w:p w14:paraId="07FF0122" w14:textId="77777777" w:rsidR="00AB2918" w:rsidRDefault="009A1077">
      <w:pPr>
        <w:spacing w:line="320" w:lineRule="exact"/>
        <w:ind w:firstLine="360"/>
        <w:jc w:val="left"/>
      </w:pPr>
      <w:r>
        <w:t>เมื่อเบรกเกอร์ของ SG เปิด วงจรจะหยุดการจ่ายกระแสเข้าระบบ แต่ตัวแปรสถานะทางกลและฟลักซ์แม่เหล็กยังคงมีพลวัตการหมุนอิสระของโรเตอร์ (Natural Deceleration / Free Rotation) จึงสามารถตรวจสอบเงื่อนไขการซิงโครไนซ์ (Synchronism Criteria) ก่อนการสับเบรกเกอร์กลับเข้าระบบได้จริง โดยไม่มีการรีเซ็ตมุมหรือความเร็วรอบของเครื่องกำเนิดไฟฟ้าแบบฝืนสภาวะทางกายภาพ</w:t>
      </w:r>
    </w:p>
    <w:p w14:paraId="5CDB1A24" w14:textId="77777777" w:rsidR="00AB2918" w:rsidRDefault="009A1077">
      <w:pPr>
        <w:keepNext/>
        <w:spacing w:before="80" w:after="30"/>
        <w:jc w:val="left"/>
      </w:pPr>
      <w:r>
        <w:rPr>
          <w:sz w:val="32"/>
          <w:szCs w:val="32"/>
        </w:rP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t>การจัดการกรอบอ้างอิงของมุมโรเตอร์ (Reference Angle Alignment) เป็นขั้นตอนสำคัญของการวิเคราะห์ SSSA เนื่องจากโครงข่ายมีองศาอิสระของมุมเฟสร่วม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sz w:val="32"/>
          <w:cs/>
          <w:szCs w:val="32"/>
        </w:rPr>
        <w:t xml:space="preserve">ตารางที่ 3 </w:t>
      </w:r>
      <w:r w:rsidRPr="007E012D">
        <w:rPr>
          <w:sz w:val="32"/>
          <w:cs/>
          <w:szCs w:val="32"/>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sz w:val="32"/>
          <w:cs/>
          <w:szCs w:val="32"/>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4"/>
            <w:szCs w:val="24"/>
          </w:rPr>
          <m:t>-0.328014±j0.448860</m:t>
        </m:r>
      </m:oMath>
      <w:r w:rsidRPr="00EB22C2">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และคู่ mode ของ DC link มี damping ratio ใกล้ </w:t>
      </w:r>
      <m:oMath>
        <m:r>
          <w:rPr>
            <w:rFonts w:ascii="Cambria Math" w:hAnsi="Cambria Math"/>
            <w:sz w:val="24"/>
            <w:szCs w:val="24"/>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left"/>
      </w:pPr>
      <w:r>
        <w:rPr>
          <w:sz w:val="32"/>
        </w:rPr>
        <w:t>เมื่อ SG offline ชุดย่อยของ IBR ที่เป็นไปได้ทั้งหมดมี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ในขณะที่การให้ทั้งสี่ตัวเป็น GFM ให้   และชุดตัวเดียวที่ดีที่สุดให้   ผลนี้แสดงว่าการเพิ่มจำนวน GFM ไม่ได้ทำให้ damping margin ดีขึ้นแบบทางเดียว ซึ่งเป็นเหตุผลที่ตารางชุด โครงแบบที่เลือก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Pr>
          <w:sz w:val="32"/>
        </w:rPr>
        <w:t>ตารางที่ 4 สรุปการคัดกรองชุด โครงแบบที่เลือก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pPr>
              <w:jc w:val="left"/>
            </w:pPr>
            <w:r>
              <w:rPr>
                <w:sz w:val="32"/>
                <w:szCs w:val="32"/>
                <w:cs/>
              </w:rPr>
              <w:t>ทุกชุดตัวเดียวผ่านการคัดกรองเชิงเส้น; ชุดที่ดีที่สุดคือบัส 2 (</w:t>
            </w:r>
            <m:oMath>
              <m:r>
                <w:rPr>
                  <w:rFonts w:ascii="Cambria Math" w:hAnsi="Cambria Math"/>
                  <w:sz w:val="24"/>
                  <w:szCs w:val="24"/>
                </w:rPr>
                <m:t>Ω=-0.32801</m:t>
              </m:r>
            </m:oMath>
            <w:r>
              <w:rPr>
                <w:sz w:val="32"/>
                <w:szCs w:val="32"/>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14:paraId="3001EE6A" w14:textId="77777777" w:rsidR="00AB2918" w:rsidRDefault="009A1077">
            <w:pPr>
              <w:jc w:val="left"/>
            </w:pPr>
            <w:r>
              <w:rPr>
                <w:sz w:val="32"/>
                <w:szCs w:val="32"/>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t>การกำหนดตำแหน่งเหตุการณ์รบกวนได้รับการจัดการอย่างแม่นยำ โดยทำการจัดขอบเขตเหตุการณ์ (Event Alignment) ให้ตรงกับรอยต่อของขั้นเวลาเชิงตัวเลข เพื่อรักษาความถูกต้องของสมการดุลกำลัง KCL และป้องกันการเกิดความไม่ต่อเนื่องเชิงตัวเลข (Numerical Discontinuity)</w:t>
      </w:r>
    </w:p>
    <w:p w14:paraId="02598BDE" w14:textId="77777777" w:rsidR="00AB2918" w:rsidRDefault="009A1077">
      <w:pPr>
        <w:spacing w:line="320" w:lineRule="exact"/>
        <w:ind w:firstLine="360"/>
        <w:jc w:val="left"/>
      </w:pPr>
      <w: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sz w:val="32"/>
        </w:rP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 ชุดโครงแบบ จากโครงสร้างเก่า 20 states เหลือ 16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t>จุดสำคัญของ GFL คือต้องอาศัยแรงดันและมุมเฟสของโครงข่ายในการซิงโครไนซ์ผ่าน PLL ดังนั้นเมื่อสูญเสีย SG และไม่มีอินเวอร์เตอร์ตัวใดทำหน้าที่สร้างโครงข่าย (GFM) ระบบจะไม่มีแหล่งอ้างอิงแรงดันและมุมเฟส (Loss of Voltage-Forming Reference) ส่งผลให้เกิดสภาวะแรงดันพังทลายและสูญเสียเสถียรภาพอย่างสมบูรณ์ตามข้อจำกัดทางกายภาพของโครงข่าย</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rPr>
                <w:sz w:val="32"/>
              </w:rPr>
              <w:t>มาตรฐานระบบ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rPr>
                <w:sz w:val="32"/>
              </w:rPr>
              <w:t>ความถี่มาตรฐานระบบกำลัง</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rPr>
                <w:sz w:val="32"/>
              </w:rPr>
              <w:t>พารามิเตอร์ LCL filter อ้างอิง [8], [9]</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rPr>
                <w:sz w:val="32"/>
              </w:rPr>
              <w:t>การออกแบบบัส DC อ้างอิง [8]</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rPr>
                <w:sz w:val="32"/>
              </w:rPr>
              <w:t>พิกัดกระแสสูงสุดของอินเวอร์เตอร์</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rPr>
                <w:sz w:val="32"/>
              </w:rPr>
              <w:t>เกนวงควบคุม PLL อ้างอิง [8]</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rPr>
                <w:sz w:val="32"/>
              </w:rPr>
              <w:t>เกนวงควบคุมกำลังจริง อ้างอิง [9]</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rPr>
                <w:sz w:val="32"/>
              </w:rPr>
              <w:t>เกนวงควบคุมกำลังรีแอกทีฟ อ้างอิง [9]</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rPr>
                <w:sz w:val="32"/>
              </w:rPr>
              <w:t>เกนวงควบคุมกระแสชั้นใน อ้างอิง [8], [9]</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rPr>
                <w:sz w:val="32"/>
              </w:rPr>
              <w:t>พารามิเตอร์ VSG inertia อ้างอิง [10]</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rPr>
                <w:sz w:val="32"/>
              </w:rPr>
              <w:t>พารามิเตอร์ Droop 5% อ้างอิง [10]</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rPr>
                <w:sz w:val="32"/>
              </w:rPr>
              <w:t>วงควบคุม Q-V อ้างอิง [10]</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rPr>
                <w:sz w:val="32"/>
              </w:rPr>
              <w:t>วงควบคุมแรงดัน GFM อ้างอิง [10]</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rPr>
                <w:sz w:val="32"/>
              </w:rPr>
              <w:t>พิกัดกำลังแหล่งจ่าย DC</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rPr>
                <w:sz w:val="32"/>
              </w:rPr>
              <w:t>เกณฑ์การป้องกันแรงดันเกิน DC</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rPr>
                <w:sz w:val="32"/>
              </w:rPr>
              <w:t>ค่าคงตัวเวลาแหล่งจ่าย DC อ้างอิง [8]</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rPr>
                <w:sz w:val="32"/>
              </w:rPr>
              <w:t>เกณฑ์ความต่อเนื่องเชิงตัวเลข</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 โครงแบบที่เลือก</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rPr>
                <w:sz w:val="32"/>
              </w:rPr>
              <w:t>พื้น damping ratio ของเกณฑ์คัดกรอง โครงแบบที่เลือก</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32"/>
                <w:szCs w:val="32"/>
                <w:cs/>
              </w:rPr>
              <w:t>รายการ</w:t>
            </w:r>
          </w:p>
        </w:tc>
        <w:tc>
          <w:tcPr>
            <w:tcW w:w="2306" w:type="dxa"/>
          </w:tcPr>
          <w:p w14:paraId="4FDD71FF" w14:textId="77777777" w:rsidR="00EF64FD" w:rsidRPr="00EF64FD" w:rsidRDefault="00EF64FD">
            <w:pPr>
              <w:jc w:val="center"/>
              <w:rPr>
                <w:b/>
                <w:bCs/>
              </w:rPr>
            </w:pPr>
            <w:r w:rsidRPr="00EF64FD">
              <w:rPr>
                <w:b/>
                <w:bCs/>
                <w:sz w:val="32"/>
                <w:szCs w:val="32"/>
                <w:cs/>
              </w:rPr>
              <w:t>ค่าที่วัดได้</w:t>
            </w:r>
          </w:p>
        </w:tc>
        <w:tc>
          <w:tcPr>
            <w:tcW w:w="1926" w:type="dxa"/>
          </w:tcPr>
          <w:p w14:paraId="7D6B141B" w14:textId="77777777" w:rsidR="00EF64FD" w:rsidRPr="00EF64FD" w:rsidRDefault="00EF64FD">
            <w:pPr>
              <w:jc w:val="center"/>
              <w:rPr>
                <w:b/>
                <w:bCs/>
              </w:rPr>
            </w:pPr>
            <w:r w:rsidRPr="00EF64FD">
              <w:rPr>
                <w:b/>
                <w:bCs/>
                <w:sz w:val="32"/>
                <w:szCs w:val="32"/>
                <w:cs/>
              </w:rPr>
              <w:t>รายการ</w:t>
            </w:r>
          </w:p>
        </w:tc>
        <w:tc>
          <w:tcPr>
            <w:tcW w:w="2410" w:type="dxa"/>
          </w:tcPr>
          <w:p w14:paraId="0FEF5329" w14:textId="77777777" w:rsidR="00EF64FD" w:rsidRPr="00EF64FD" w:rsidRDefault="00EF64FD">
            <w:pPr>
              <w:jc w:val="center"/>
              <w:rPr>
                <w:b/>
                <w:bCs/>
              </w:rPr>
            </w:pPr>
            <w:r w:rsidRPr="00EF64FD">
              <w:rPr>
                <w:b/>
                <w:bCs/>
                <w:sz w:val="32"/>
                <w:szCs w:val="32"/>
                <w:cs/>
              </w:rPr>
              <w:t>ค่าที่วัดได้</w:t>
            </w:r>
          </w:p>
        </w:tc>
      </w:tr>
      <w:tr w:rsidR="00EF64FD" w14:paraId="1A9111EF" w14:textId="77777777" w:rsidTr="00EF64FD">
        <w:trPr>
          <w:jc w:val="center"/>
        </w:trPr>
        <w:tc>
          <w:tcPr>
            <w:tcW w:w="2000" w:type="dxa"/>
          </w:tcPr>
          <w:p w14:paraId="5F99D582" w14:textId="77777777" w:rsidR="00EF64FD" w:rsidRDefault="00EF64FD">
            <w:pPr>
              <w:jc w:val="left"/>
            </w:pPr>
            <w:r>
              <w:rPr>
                <w:sz w:val="32"/>
                <w:szCs w:val="32"/>
                <w:cs/>
              </w:rPr>
              <w:t>ขอบเขตเวลาที่เดินถึง</w:t>
            </w:r>
          </w:p>
        </w:tc>
        <w:tc>
          <w:tcPr>
            <w:tcW w:w="2306" w:type="dxa"/>
          </w:tcPr>
          <w:p>
            <w:pPr>
              <w:jc w:val="center"/>
            </w:pPr>
            <w:r>
              <w:rPr>
                <w:sz w:val="32"/>
              </w:rPr>
              <w:t>160.000 s</w:t>
            </w:r>
          </w:p>
        </w:tc>
        <w:tc>
          <w:tcPr>
            <w:tcW w:w="1926" w:type="dxa"/>
          </w:tcPr>
          <w:p w14:paraId="4F757BD9" w14:textId="77777777" w:rsidR="00EF64FD" w:rsidRDefault="00EF64FD">
            <w:pPr>
              <w:jc w:val="left"/>
            </w:pPr>
            <w:r>
              <w:rPr>
                <w:sz w:val="32"/>
                <w:szCs w:val="32"/>
                <w:cs/>
              </w:rPr>
              <w:t>จุดตัวอย่างที่ยอมรับ</w:t>
            </w:r>
          </w:p>
        </w:tc>
        <w:tc>
          <w:tcPr>
            <w:tcW w:w="2410" w:type="dxa"/>
          </w:tcPr>
          <w:p w14:paraId="691D0D38" w14:textId="77777777" w:rsidR="00EF64FD" w:rsidRDefault="00EF64FD">
            <w:pPr>
              <w:jc w:val="center"/>
            </w:pPr>
            <w:r>
              <w:rPr>
                <w:sz w:val="32"/>
                <w:szCs w:val="32"/>
                <w:cs/>
              </w:rPr>
              <w:t>2288</w:t>
            </w:r>
          </w:p>
        </w:tc>
      </w:tr>
      <w:tr w:rsidR="00EF64FD" w14:paraId="52A49D1D" w14:textId="77777777" w:rsidTr="00EF64FD">
        <w:trPr>
          <w:jc w:val="center"/>
        </w:trPr>
        <w:tc>
          <w:tcPr>
            <w:tcW w:w="2000" w:type="dxa"/>
          </w:tcPr>
          <w:p>
            <w:r>
              <w:rPr>
                <w:sz w:val="32"/>
              </w:rPr>
              <w:t>สถานะการจำลอง</w:t>
            </w:r>
          </w:p>
        </w:tc>
        <w:tc>
          <w:tcPr>
            <w:tcW w:w="2306" w:type="dxa"/>
          </w:tcPr>
          <w:p>
            <w:r>
              <w:rPr>
                <w:sz w:val="32"/>
              </w:rPr>
              <w:t>ลู่เข้าสมบูรณ์</w:t>
            </w:r>
          </w:p>
        </w:tc>
        <w:tc>
          <w:tcPr>
            <w:tcW w:w="1926" w:type="dxa"/>
          </w:tcPr>
          <w:p w14:paraId="25479FE8" w14:textId="77777777" w:rsidR="00EF64FD" w:rsidRDefault="00EF64FD">
            <w:pPr>
              <w:jc w:val="left"/>
            </w:pPr>
            <w:r>
              <w:rPr>
                <w:sz w:val="32"/>
                <w:szCs w:val="32"/>
                <w:cs/>
              </w:rPr>
              <w:t>ขั้นที่ยอมรับด้วยพื้นขั้นต่ำ</w:t>
            </w:r>
          </w:p>
        </w:tc>
        <w:tc>
          <w:tcPr>
            <w:tcW w:w="2410" w:type="dxa"/>
          </w:tcPr>
          <w:p w14:paraId="47CE5BCD" w14:textId="77777777" w:rsidR="00EF64FD" w:rsidRDefault="00EF64FD">
            <w:pPr>
              <w:jc w:val="center"/>
            </w:pPr>
            <w:r>
              <w:rPr>
                <w:sz w:val="32"/>
                <w:szCs w:val="32"/>
                <w:cs/>
              </w:rPr>
              <w:t>0</w:t>
            </w:r>
          </w:p>
        </w:tc>
      </w:tr>
      <w:tr w:rsidR="00EF64FD" w14:paraId="643D694E" w14:textId="77777777" w:rsidTr="00EF64FD">
        <w:trPr>
          <w:jc w:val="center"/>
        </w:trPr>
        <w:tc>
          <w:tcPr>
            <w:tcW w:w="2000" w:type="dxa"/>
          </w:tcPr>
          <w:p w14:paraId="102C52FB" w14:textId="77777777" w:rsidR="00EF64FD" w:rsidRDefault="00EF64FD">
            <w:pPr>
              <w:jc w:val="left"/>
            </w:pPr>
            <w:r>
              <w:rPr>
                <w:sz w:val="32"/>
                <w:szCs w:val="32"/>
                <w:cs/>
              </w:rPr>
              <w:t>เวลาปิดเบรกเกอร์ SG</w:t>
            </w:r>
          </w:p>
        </w:tc>
        <w:tc>
          <w:tcPr>
            <w:tcW w:w="2306" w:type="dxa"/>
          </w:tcPr>
          <w:p>
            <w:pPr>
              <w:jc w:val="center"/>
            </w:pPr>
            <w:r>
              <w:rPr>
                <w:sz w:val="32"/>
              </w:rPr>
              <w:t>102.363 s</w:t>
            </w:r>
          </w:p>
        </w:tc>
        <w:tc>
          <w:tcPr>
            <w:tcW w:w="1926" w:type="dxa"/>
          </w:tcPr>
          <w:p w14:paraId="0DA956D0" w14:textId="77777777" w:rsidR="00EF64FD" w:rsidRDefault="00EF64FD">
            <w:pPr>
              <w:jc w:val="left"/>
            </w:pPr>
            <w:r>
              <w:rPr>
                <w:sz w:val="32"/>
                <w:szCs w:val="32"/>
                <w:cs/>
              </w:rPr>
              <w:t>เวลาคืนมุมอ้างอิงให้ SG</w:t>
            </w:r>
          </w:p>
        </w:tc>
        <w:tc>
          <w:tcPr>
            <w:tcW w:w="2410" w:type="dxa"/>
          </w:tcPr>
          <w:p>
            <w:pPr>
              <w:jc w:val="center"/>
            </w:pPr>
            <w:r>
              <w:rPr>
                <w:sz w:val="32"/>
              </w:rPr>
              <w:t>116.238 s</w:t>
            </w:r>
          </w:p>
        </w:tc>
      </w:tr>
      <w:tr w:rsidR="00EF64FD" w14:paraId="6B8FCC2C" w14:textId="77777777" w:rsidTr="00EF64FD">
        <w:trPr>
          <w:jc w:val="center"/>
        </w:trPr>
        <w:tc>
          <w:tcPr>
            <w:tcW w:w="2000" w:type="dxa"/>
          </w:tcPr>
          <w:p w14:paraId="22FDC069" w14:textId="77777777" w:rsidR="00EF64FD" w:rsidRDefault="00EF64FD">
            <w:pPr>
              <w:jc w:val="left"/>
            </w:pPr>
            <w:r>
              <w:rPr>
                <w:sz w:val="32"/>
                <w:szCs w:val="32"/>
                <w:cs/>
              </w:rPr>
              <w:t>GFM สูงสุดพร้อมกัน</w:t>
            </w:r>
          </w:p>
        </w:tc>
        <w:tc>
          <w:tcPr>
            <w:tcW w:w="2306" w:type="dxa"/>
          </w:tcPr>
          <w:p w14:paraId="7BCB4545" w14:textId="77777777" w:rsidR="00EF64FD" w:rsidRDefault="00EF64FD">
            <w:pPr>
              <w:jc w:val="center"/>
            </w:pPr>
            <w:r>
              <w:rPr>
                <w:sz w:val="32"/>
                <w:szCs w:val="32"/>
                <w:cs/>
              </w:rPr>
              <w:t>2</w:t>
            </w:r>
          </w:p>
        </w:tc>
        <w:tc>
          <w:tcPr>
            <w:tcW w:w="1926" w:type="dxa"/>
          </w:tcPr>
          <w:p w14:paraId="402D730F" w14:textId="77777777" w:rsidR="00EF64FD" w:rsidRDefault="00EF64FD">
            <w:pPr>
              <w:jc w:val="left"/>
            </w:pPr>
            <w:r>
              <w:rPr>
                <w:sz w:val="32"/>
                <w:szCs w:val="32"/>
                <w:cs/>
              </w:rPr>
              <w:t>GFM เมื่อจบการรัน</w:t>
            </w:r>
          </w:p>
        </w:tc>
        <w:tc>
          <w:tcPr>
            <w:tcW w:w="2410" w:type="dxa"/>
          </w:tcPr>
          <w:p w14:paraId="2AA3DE31" w14:textId="77777777" w:rsidR="00EF64FD" w:rsidRDefault="00EF64FD">
            <w:pPr>
              <w:jc w:val="center"/>
            </w:pPr>
            <w:r>
              <w:rPr>
                <w:sz w:val="32"/>
                <w:szCs w:val="32"/>
                <w:cs/>
              </w:rPr>
              <w:t>0</w:t>
            </w:r>
          </w:p>
        </w:tc>
      </w:tr>
      <w:tr w:rsidR="00EF64FD" w14:paraId="07895B5B" w14:textId="77777777" w:rsidTr="00EF64FD">
        <w:trPr>
          <w:jc w:val="center"/>
        </w:trPr>
        <w:tc>
          <w:tcPr>
            <w:tcW w:w="2000" w:type="dxa"/>
          </w:tcPr>
          <w:p w14:paraId="0698B40A" w14:textId="77777777" w:rsidR="00EF64FD" w:rsidRDefault="00EF64FD">
            <w:pPr>
              <w:jc w:val="left"/>
            </w:pPr>
            <w:r>
              <w:rPr>
                <w:sz w:val="32"/>
              </w:rPr>
              <w:t>การสั่งการ เพิ่ม GFM / ปฏิเสธ</w:t>
            </w:r>
          </w:p>
        </w:tc>
        <w:tc>
          <w:tcPr>
            <w:tcW w:w="2306" w:type="dxa"/>
          </w:tcPr>
          <w:p w14:paraId="2B3FA772" w14:textId="77777777" w:rsidR="00EF64FD" w:rsidRDefault="00EF64FD">
            <w:pPr>
              <w:jc w:val="left"/>
            </w:pPr>
            <w:r>
              <w:rPr>
                <w:sz w:val="32"/>
                <w:szCs w:val="32"/>
                <w:cs/>
              </w:rPr>
              <w:t>1 / 0</w:t>
            </w:r>
          </w:p>
        </w:tc>
        <w:tc>
          <w:tcPr>
            <w:tcW w:w="1926" w:type="dxa"/>
          </w:tcPr>
          <w:p w14:paraId="440782A7" w14:textId="77777777" w:rsidR="00EF64FD" w:rsidRDefault="00EF64FD">
            <w:pPr>
              <w:jc w:val="left"/>
            </w:pPr>
            <w:r>
              <w:rPr>
                <w:sz w:val="32"/>
              </w:rPr>
              <w:t>การสั่งการ ปลด GFM / ปฏิเสธ</w:t>
            </w:r>
          </w:p>
        </w:tc>
        <w:tc>
          <w:tcPr>
            <w:tcW w:w="2410" w:type="dxa"/>
          </w:tcPr>
          <w:p w14:paraId="6F2C0A05" w14:textId="77777777" w:rsidR="00EF64FD" w:rsidRDefault="00EF64FD">
            <w:pPr>
              <w:jc w:val="left"/>
            </w:pPr>
            <w:r>
              <w:rPr>
                <w:sz w:val="32"/>
                <w:szCs w:val="32"/>
                <w:cs/>
              </w:rPr>
              <w:t>1 / 0</w:t>
            </w:r>
          </w:p>
        </w:tc>
      </w:tr>
      <w:tr w:rsidR="00EF64FD" w14:paraId="01A1CBB4" w14:textId="77777777" w:rsidTr="00EF64FD">
        <w:trPr>
          <w:jc w:val="center"/>
        </w:trPr>
        <w:tc>
          <w:tcPr>
            <w:tcW w:w="2000" w:type="dxa"/>
          </w:tcPr>
          <w:p w14:paraId="3B825726" w14:textId="77777777" w:rsidR="00EF64FD" w:rsidRDefault="00EF64FD">
            <w:pPr>
              <w:jc w:val="left"/>
            </w:pPr>
            <w:r>
              <w:rPr>
                <w:sz w:val="32"/>
                <w:szCs w:val="32"/>
                <w:cs/>
              </w:rPr>
              <w:t>ความถี่เฉลี่ยเมื่อจบการรัน</w:t>
            </w:r>
          </w:p>
        </w:tc>
        <w:tc>
          <w:tcPr>
            <w:tcW w:w="2306" w:type="dxa"/>
          </w:tcPr>
          <w:p w14:paraId="12562346" w14:textId="77777777" w:rsidR="00EF64FD" w:rsidRDefault="00EF64FD">
            <w:pPr>
              <w:jc w:val="center"/>
            </w:pPr>
            <w:r>
              <w:rPr>
                <w:sz w:val="32"/>
                <w:szCs w:val="32"/>
                <w:cs/>
              </w:rPr>
              <w:t>59.999958 Hz</w:t>
            </w:r>
          </w:p>
        </w:tc>
        <w:tc>
          <w:tcPr>
            <w:tcW w:w="1926" w:type="dxa"/>
          </w:tcPr>
          <w:p w14:paraId="0D93FF70" w14:textId="77777777" w:rsidR="00EF64FD" w:rsidRDefault="00EF64FD">
            <w:pPr>
              <w:jc w:val="left"/>
            </w:pPr>
            <w:r>
              <w:rPr>
                <w:sz w:val="32"/>
                <w:szCs w:val="32"/>
                <w:cs/>
              </w:rPr>
              <w:t>แรงดันบัสคอนเวอร์เตอร์เมื่อจบ</w:t>
            </w:r>
          </w:p>
        </w:tc>
        <w:tc>
          <w:tcPr>
            <w:tcW w:w="2410" w:type="dxa"/>
          </w:tcPr>
          <w:p w14:paraId="01BB1859" w14:textId="77777777" w:rsidR="00EF64FD" w:rsidRDefault="00EF64FD">
            <w:pPr>
              <w:jc w:val="left"/>
            </w:pPr>
            <w:r>
              <w:rPr>
                <w:sz w:val="32"/>
                <w:szCs w:val="32"/>
                <w:cs/>
              </w:rPr>
              <w:t>0.966733–1.057534 pu</w:t>
            </w:r>
          </w:p>
        </w:tc>
      </w:tr>
      <w:tr w:rsidR="00EF64FD" w14:paraId="5869D167" w14:textId="77777777" w:rsidTr="00EF64FD">
        <w:trPr>
          <w:jc w:val="center"/>
        </w:trPr>
        <w:tc>
          <w:tcPr>
            <w:tcW w:w="2000" w:type="dxa"/>
          </w:tcPr>
          <w:p w14:paraId="371062CE" w14:textId="77777777" w:rsidR="00EF64FD" w:rsidRDefault="00EF64FD">
            <w:pPr>
              <w:jc w:val="left"/>
            </w:pPr>
            <w:r>
              <w:rPr>
                <w:sz w:val="32"/>
                <w:szCs w:val="32"/>
                <w:cs/>
              </w:rPr>
              <w:t>ความถี่เฉลี่ยนอกหน้าต่างฟอลต์</w:t>
            </w:r>
          </w:p>
        </w:tc>
        <w:tc>
          <w:tcPr>
            <w:tcW w:w="2306" w:type="dxa"/>
          </w:tcPr>
          <w:p w14:paraId="0AAB3BF8" w14:textId="77777777" w:rsidR="00EF64FD" w:rsidRDefault="00EF64FD">
            <w:pPr>
              <w:jc w:val="left"/>
            </w:pPr>
            <w:r>
              <w:rPr>
                <w:sz w:val="32"/>
                <w:szCs w:val="32"/>
                <w:cs/>
              </w:rPr>
              <w:t>59.240121–60.114155 Hz</w:t>
            </w:r>
          </w:p>
        </w:tc>
        <w:tc>
          <w:tcPr>
            <w:tcW w:w="1926" w:type="dxa"/>
          </w:tcPr>
          <w:p w14:paraId="6628563C" w14:textId="77777777" w:rsidR="00EF64FD" w:rsidRDefault="00EF64FD">
            <w:pPr>
              <w:jc w:val="left"/>
            </w:pPr>
            <w:r>
              <w:rPr>
                <w:sz w:val="32"/>
                <w:szCs w:val="32"/>
                <w:cs/>
              </w:rPr>
              <w:t>ยอดขณะฟอลต์</w:t>
            </w:r>
          </w:p>
        </w:tc>
        <w:tc>
          <w:tcPr>
            <w:tcW w:w="2410" w:type="dxa"/>
          </w:tcPr>
          <w:p w14:paraId="34811E07" w14:textId="77777777" w:rsidR="00EF64FD" w:rsidRDefault="00EF64FD">
            <w:pPr>
              <w:jc w:val="center"/>
            </w:pPr>
            <w:r>
              <w:rPr>
                <w:sz w:val="32"/>
                <w:szCs w:val="32"/>
                <w:cs/>
              </w:rPr>
              <w:t>60.676026 Hz</w:t>
            </w:r>
          </w:p>
        </w:tc>
      </w:tr>
      <w:tr w:rsidR="00EF64FD" w14:paraId="28C5A677" w14:textId="77777777" w:rsidTr="00EF64FD">
        <w:trPr>
          <w:jc w:val="center"/>
        </w:trPr>
        <w:tc>
          <w:tcPr>
            <w:tcW w:w="2000" w:type="dxa"/>
          </w:tcPr>
          <w:p w14:paraId="6E93349B" w14:textId="77777777" w:rsidR="00EF64FD" w:rsidRDefault="00EF64FD">
            <w:pPr>
              <w:jc w:val="left"/>
            </w:pPr>
            <w:r>
              <w:rPr>
                <w:sz w:val="32"/>
                <w:szCs w:val="32"/>
                <w:cs/>
              </w:rPr>
              <w:t>แรงดันนอกหน้าต่างฟอลต์</w:t>
            </w:r>
          </w:p>
        </w:tc>
        <w:tc>
          <w:tcPr>
            <w:tcW w:w="2306" w:type="dxa"/>
          </w:tcPr>
          <w:p w14:paraId="2056167F" w14:textId="77777777" w:rsidR="00EF64FD" w:rsidRDefault="00EF64FD">
            <w:pPr>
              <w:jc w:val="left"/>
            </w:pPr>
            <w:r>
              <w:rPr>
                <w:sz w:val="32"/>
                <w:szCs w:val="32"/>
                <w:cs/>
              </w:rPr>
              <w:t>0.550775–1.137835 pu</w:t>
            </w:r>
          </w:p>
        </w:tc>
        <w:tc>
          <w:tcPr>
            <w:tcW w:w="1926" w:type="dxa"/>
          </w:tcPr>
          <w:p w14:paraId="21A9C71A" w14:textId="77777777" w:rsidR="00EF64FD" w:rsidRDefault="00EF64FD">
            <w:pPr>
              <w:jc w:val="left"/>
            </w:pPr>
            <w:r>
              <w:rPr>
                <w:sz w:val="32"/>
                <w:szCs w:val="32"/>
                <w:cs/>
              </w:rPr>
              <w:t>ยอดขณะฟอลต์</w:t>
            </w:r>
          </w:p>
        </w:tc>
        <w:tc>
          <w:tcPr>
            <w:tcW w:w="2410" w:type="dxa"/>
          </w:tcPr>
          <w:p w14:paraId="0947F66F" w14:textId="77777777" w:rsidR="00EF64FD" w:rsidRDefault="00EF64FD">
            <w:pPr>
              <w:jc w:val="left"/>
            </w:pPr>
            <w:r>
              <w:rPr>
                <w:sz w:val="32"/>
                <w:szCs w:val="32"/>
                <w:cs/>
              </w:rPr>
              <w:t>0.258035–1.863839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ระบบเกาะยังคงรักษาเสถียรภาพไว้ได้ ต่อมาเงื่อนไขการซิงโครไนซ์อนุญาตให้เบรกเกอร์ของ SG1 สับปิดกลับเข้าระบบที่เวลา 102.363 s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rPr>
          <w:sz w:val="32"/>
          <w:szCs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ภายใต้โครงข่ายและลำดับเหตุการณ์รบกวนชุดเดียวกันบนขอบเขตเวลา 160.000 s</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t>โดย  คือแอดมิตแตนซ์ของโหลดที่จุดทำงาน PF และ  เป็นฟังก์ชันบ่งชี้ที่มีค่า 1 เฉพาะช่วงที่เครือข่ายอยู่ในสถานะ fault พจน์  จึงคือแอดมิตแตนซ์ของ fault ที่ประทับลงบัสเดียวกัน ลำดับเหตุการณ์ชุดนี้ไม่มีการเพิ่มโหลด ตัวคูณ  จึงคงค่าตลอดการรัน และหน้าต่าง – วินาที รวมกระแส fault ไว้ตามที่เกิดขึ้นจริง การทวนสอบความถูกต้องของสภาวะเริ่มต้นกำหนดที่  คือค่าที่คำนวณย้อนได้ต้องเท่ากับข้อมูลโหลดของกรณีศึกษาและแรงดัน PF ภายใน  pu ซึ่งได้  pu,  pu และ  pu ตรงทุกหลัก ทั้งสองกรณี</w:t>
      </w:r>
    </w:p>
    <w:p w14:paraId="6ED44EA7" w14:textId="77777777" w:rsidR="00AB2918" w:rsidRDefault="009A1077">
      <w:pPr>
        <w:spacing w:line="320" w:lineRule="exact"/>
        <w:ind w:firstLine="360"/>
        <w:jc w:val="left"/>
      </w:pPr>
      <w:r>
        <w:t>แผงที่ (d) แสดงความถี่ที่บัส 9 ซึ่งคำนวณจากอนุพันธ์ของมุมแรงดันบัส ในกรณีสลับโหมด ระบบสามารถรักษาเสถียรภาพความถี่ไว้ได้ ขณะที่ในกรณีตรึงโหมด GFL ระบบเกิดภาวะสูญเสียเสถียรภาพเชิงมุม (Angle Instability) และแรงดันพังทลาย (Voltage Collapse) อย่างรุนแรงหลังเข้าสู่สภาวะแยกตัวเป็นเกาะ (Islanding) ส่งผลให้ตัวแปรทางพีชคณิตลู่ออก (Diverge) และระบบไม่สามารถหาคำตอบทางกายภาพได้</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rPr>
        <w:t>จากรูปที่ 8 ในช่วงระบบแยกตัวเป็นเกาะ (t = 20.000–100.000 s) กรณีสลับโหมดสามารถรักษาระดับแรงดันบัส 9 ให้อยู่ในช่วง 0.95–1.05 pu และควบคุมความถี่ให้กลับเข้าสู่สภาวะสมดุล ในขณะที่กรณีตรึงโหมด GFL เกิดการแกว่งของแรงดันและกำลังไฟฟ้าอย่างรุนแรง และไม่สามารถซิงโครไนซ์เพื่อรับ SG1 กลับเข้าระบบได้สำเร็จ</w:t>
      </w:r>
    </w:p>
    <w:p w14:paraId="2EFFABFB" w14:textId="77777777" w:rsidR="00AB2918" w:rsidRDefault="009A1077">
      <w:pPr>
        <w:spacing w:line="320" w:lineRule="exact"/>
        <w:ind w:firstLine="360"/>
        <w:jc w:val="left"/>
      </w:pPr>
      <w:r>
        <w:rPr>
          <w:sz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กลับเข้าระบบได้ตามเงื่อนไขการซิงโครไนซ์ที่เวลา 102.363 s</w:t>
      </w:r>
    </w:p>
    <w:p w14:paraId="217579ED" w14:textId="77777777" w:rsidR="00AB2918" w:rsidRDefault="009A1077">
      <w:pPr>
        <w:spacing w:line="320" w:lineRule="exact"/>
        <w:ind w:firstLine="360"/>
        <w:jc w:val="left"/>
      </w:pPr>
      <w:r>
        <w:t>ความถี่ที่บัส 9 ในช่วงเกาะของกรณีสลับโหมดอยู่ในแถบ – Hz ส่วนกรณีตรึงโหมด GFL อยู่ในแถบ – Hz ซึ่งกว้างกว่าหลายเท่า เทียบจากกราฟได้ตรงตัวว่ากรณีสลับโหมดยืนทั้งแรงดัน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กับผลของเกณฑ์การซิงโครไนซ์ (Synchronization Criteria)</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pPr>
              <w:jc w:val="left"/>
            </w:pPr>
            <w:r>
              <w:rPr>
                <w:sz w:val="32"/>
              </w:rPr>
              <w:t>สั่งการสลับโหมดได้อย่างถูกต้องตามสภาวะของระบบ</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pPr>
              <w:jc w:val="left"/>
            </w:pPr>
            <w:r>
              <w:rPr>
                <w:sz w:val="32"/>
              </w:rPr>
              <w:t>ระบบเกาะมีเสถียรภาพและสามารถรับ SG1 กลับเข้าระบบได้สำเร็จ</w:t>
            </w:r>
          </w:p>
        </w:tc>
      </w:tr>
    </w:tbl>
    <w:p w14:paraId="27FF0331" w14:textId="77777777" w:rsidR="00AB2918" w:rsidRDefault="009A1077">
      <w:pPr>
        <w:keepNext/>
        <w:spacing w:before="80" w:after="30"/>
        <w:jc w:val="left"/>
      </w:pPr>
      <w:r>
        <w:t>12. ข้อจำกัดของขอบเขตงานและสมมติฐาน (Scope Limitations and Assumptions)</w:t>
      </w:r>
    </w:p>
    <w:p w14:paraId="7D2A3F58" w14:textId="77777777" w:rsidR="00AB2918" w:rsidRDefault="009A1077">
      <w:pPr>
        <w:spacing w:line="320" w:lineRule="exact"/>
        <w:ind w:firstLine="360"/>
        <w:jc w:val="left"/>
      </w:pPr>
      <w:r>
        <w:rPr>
          <w:sz w:val="32"/>
          <w:szCs w:val="32"/>
        </w:rPr>
        <w:t>สิ่งที่ ยังไม่อ้าง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รายงานนี้ไม่ได้อ้างความสอดคล้องกับข้อกำหนดการเชื่อมต่อ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และตารางเหตุการณ์ของระบบทดสอบ IEEE 14-bus และการขยายผลไปสู่ระบบขนาดใหญ่ยังอยู่ระหว่างการประเมิน</w:t>
      </w: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14:paraId="40381A9D" w14:textId="77777777" w:rsidR="00AB2918" w:rsidRDefault="009A1077">
      <w:pPr>
        <w:keepNext/>
        <w:spacing w:before="70" w:after="30"/>
        <w:jc w:val="left"/>
      </w:pPr>
      <w:r>
        <w:rPr>
          <w:b/>
          <w:bCs/>
          <w:sz w:val="32"/>
          <w:szCs w:val="32"/>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left"/>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left"/>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left"/>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left"/>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jc w:val="left"/>
      </w:pPr>
      <w:r>
        <w:rPr>
          <w:b/>
          <w:bCs/>
          <w:sz w:val="32"/>
          <w:szCs w:val="32"/>
          <w:cs/>
        </w:rPr>
        <w:t>ประโยชน์ด้านการประยุกต์ใช้งาน</w:t>
      </w:r>
    </w:p>
    <w:p w14:paraId="672C50CE" w14:textId="77777777" w:rsidR="00AB2918" w:rsidRDefault="009A1077">
      <w:pPr>
        <w:tabs>
          <w:tab w:val="left" w:pos="518"/>
        </w:tabs>
        <w:spacing w:line="320" w:lineRule="exact"/>
        <w:ind w:left="518" w:hanging="518"/>
        <w:jc w:val="left"/>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left"/>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left"/>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t>1.</w:t>
        <w:tab/>
        <w:t>การสูญเสียเครื่องกำเนิดไฟฟ้าซิงโครนัสหลัก (SG1) โดยไม่มีอินเวอร์เตอร์ตัวใดทำหน้าที่สร้างโครงข่าย (GFM) ส่งผลให้ระบบสูญเสียเสถียรภาพเชิงมุม (Angle Instability) และแรงดันพังทลายทันที ซึ่งเป็นข้อจำกัดทางกายภาพของการทำงานในระบบไฟฟ้ากำลัง</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rPr>
        <w:t>3. ชุด โครงแบบที่เลือก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กรอบการทำงานนี้จึงไม่การสั่งการชุดใดด้วยผลการคัดกรองเพียงอย่างเดียว แต่ตรวจ residual ของลิมิตขวาบนแอดมิตแตนซ์ที่เป็นจริงในขณะนั้นก่อนการสั่งการทุกครั้ง และย้อนขั้นตอนทั้งก้อนเมื่อไม่ผ่าน</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t>1.</w:t>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187F56BD" w14:textId="77777777" w:rsidR="00AB2918" w:rsidRDefault="009A1077">
      <w:pPr>
        <w:tabs>
          <w:tab w:val="left" w:pos="518"/>
        </w:tabs>
        <w:spacing w:line="320" w:lineRule="exact"/>
        <w:ind w:left="518" w:hanging="518"/>
        <w:jc w:val="left"/>
      </w:pPr>
      <w:r>
        <w:rPr>
          <w:sz w:val="32"/>
        </w:rPr>
        <w:t>2.</w:t>
        <w:tab/>
        <w:t>ใช้เวกเตอร์ state แบบ ชุดโครงแบบ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t>4.</w:t>
        <w:tab/>
        <w:t>ประยุกต์ใช้วิธีคำนวณแบบสี่เหลี่ยมคางหมูอิมพลิซิตร่วมกับการควบคุมขนาดขั้นเวลาอัตโนมัติ และการจัดตำแหน่งเหตุการณ์ให้ตรงกับขอบเขตขั้นเวลา (Event-to-Time-step Boundary Alignment) เพื่อรักษาความต่อเนื่องทางคณิตศาสตร์และเสถียรภาพเชิงตัวเลขของการจำลอง</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rPr>
        <w:t>2.</w:t>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โครงแบบที่เลือก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rPr>
        <w:t>3.</w:t>
        <w:tab/>
        <w:t>พัฒนาเกณฑ์คัดเลือกชุด โครงแบบที่เลือก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