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46"/>
      </w:tblGrid>
      <w:tr>
        <w:tc>
          <w:tcPr>
            <w:tcW w:type="dxa" w:w="11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before="0" w:after="34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AI-Powered Multi-Modal Carrier Selection Agent — Procurement Co-Pilot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8C8F0"/>
                <w:sz w:val="17"/>
                <w:szCs w:val="17"/>
              </w:rPr>
              <w:t xml:space="preserve">Comprehensive Solution Proposal  |  Four-Brain Autonomous Procurement Platform  |  Road · Ocean · Air · Rail</w:t>
            </w:r>
          </w:p>
        </w:tc>
      </w:tr>
    </w:tbl>
    <w:p>
      <w:pPr>
        <w:spacing w:before="65" w:after="0"/>
      </w:pPr>
    </w:p>
    <w:tbl>
      <w:tblPr>
        <w:tblW w:type="dxa" w:w="11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3"/>
        <w:gridCol w:w="5623"/>
      </w:tblGrid>
      <w:tr>
        <w:tc>
          <w:tcPr>
            <w:tcW w:type="dxa" w:w="5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Bdr>
                <w:bottom w:val="single" w:color="1B3A6B" w:sz="5"/>
              </w:pBdr>
              <w:spacing w:before="75" w:after="38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8"/>
                <w:szCs w:val="18"/>
              </w:rPr>
              <w:t xml:space="preserve">①  Problem Understanding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6"/>
                <w:szCs w:val="16"/>
              </w:rPr>
              <w:t xml:space="preserve">Procurement teams shipping via Road, Ocean, Air, and Rail must compare carriers across entirely incompatible formats — ocean quotes in $/TEU with BAF/THC surcharges, air in $/kg with fuel levies, road in ₹/ton-km. The real challenge is not picking the cheapest carrier — it is finding the optimal mode-carrier combination across the entire origin-to-destination chain given urgency, carbon budget, capacity, and risk constraints. No existing Excel process solves this at scale.</w:t>
            </w:r>
          </w:p>
          <w:tbl>
            <w:tblPr>
              <w:tblW w:type="dxa" w:w="542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0"/>
              <w:gridCol w:w="1560"/>
              <w:gridCol w:w="2183"/>
            </w:tblGrid>
            <w:tr>
              <w:tc>
                <w:tcPr>
                  <w:tcW w:type="dxa" w:w="168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Pain Point</w:t>
                  </w:r>
                </w:p>
              </w:tc>
              <w:tc>
                <w:tcPr>
                  <w:tcW w:type="dxa" w:w="156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Root Cause</w:t>
                  </w:r>
                </w:p>
              </w:tc>
              <w:tc>
                <w:tcPr>
                  <w:tcW w:type="dxa" w:w="2183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Business Impact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Mode incompatibility</w:t>
                  </w:r>
                </w:p>
              </w:tc>
              <w:tc>
                <w:tcPr>
                  <w:tcW w:type="dxa" w:w="15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Apples vs. container ships</w:t>
                  </w:r>
                </w:p>
              </w:tc>
              <w:tc>
                <w:tcPr>
                  <w:tcW w:type="dxa" w:w="218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No valid cross-modal comparison possible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Pricing format chaos</w:t>
                  </w:r>
                </w:p>
              </w:tc>
              <w:tc>
                <w:tcPr>
                  <w:tcW w:type="dxa" w:w="15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4 different rate structures</w:t>
                  </w:r>
                </w:p>
              </w:tc>
              <w:tc>
                <w:tcPr>
                  <w:tcW w:type="dxa" w:w="218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Manual normalisation errors, hidden cost leakage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No predictive intelligence</w:t>
                  </w:r>
                </w:p>
              </w:tc>
              <w:tc>
                <w:tcPr>
                  <w:tcW w:type="dxa" w:w="15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Different delay drivers per mode</w:t>
                  </w:r>
                </w:p>
              </w:tc>
              <w:tc>
                <w:tcPr>
                  <w:tcW w:type="dxa" w:w="218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Reactive firefighting; missed delivery windows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Static mode selection</w:t>
                  </w:r>
                </w:p>
              </w:tc>
              <w:tc>
                <w:tcPr>
                  <w:tcW w:type="dxa" w:w="15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Gut-feel, tradition-based decisions</w:t>
                  </w:r>
                </w:p>
              </w:tc>
              <w:tc>
                <w:tcPr>
                  <w:tcW w:type="dxa" w:w="218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Locked into suboptimal modes despite market shifts</w:t>
                  </w:r>
                </w:p>
              </w:tc>
            </w:tr>
            <w:tr>
              <w:tc>
                <w:tcPr>
                  <w:tcW w:type="dxa" w:w="168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Carbon blind spots</w:t>
                  </w:r>
                </w:p>
              </w:tc>
              <w:tc>
                <w:tcPr>
                  <w:tcW w:type="dxa" w:w="15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Air vs. rail = 50× CO₂ variance</w:t>
                  </w:r>
                </w:p>
              </w:tc>
              <w:tc>
                <w:tcPr>
                  <w:tcW w:type="dxa" w:w="218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Regulatory risk under EU ETS &amp; IMO 2030</w:t>
                  </w:r>
                </w:p>
              </w:tc>
            </w:tr>
          </w:tbl>
          <w:p/>
        </w:tc>
        <w:tc>
          <w:tcPr>
            <w:tcW w:type="dxa" w:w="56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B3A6B" w:sz="5"/>
              </w:pBdr>
              <w:spacing w:before="75" w:after="38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8"/>
                <w:szCs w:val="18"/>
              </w:rPr>
              <w:t xml:space="preserve">②  Proposed Solution — "Four-Brain" Co-Pilot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6"/>
                <w:szCs w:val="16"/>
              </w:rPr>
              <w:t xml:space="preserve">We build a Multi-Agent Procurement Co-Pilot with four specialised AI brains. Brain 0 (Mode Selector) must run first — the mode decision fundamentally changes the carrier pool. Brain 1 then scores carriers using mode-specific KPIs; Brain 2 predicts delays and cost drift per mode; Brain 3 runs a cross-modal MILP optimizer to simultaneously select mode and carrier for every shipment across the network.</w:t>
            </w:r>
          </w:p>
          <w:tbl>
            <w:tblPr>
              <w:tblW w:type="dxa" w:w="562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20"/>
              <w:gridCol w:w="2703"/>
            </w:tblGrid>
            <w:tr>
              <w:tc>
                <w:tcPr>
                  <w:tcW w:type="dxa" w:w="90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Brain</w:t>
                  </w:r>
                </w:p>
              </w:tc>
              <w:tc>
                <w:tcPr>
                  <w:tcW w:type="dxa" w:w="202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Typical Approach</w:t>
                  </w:r>
                </w:p>
              </w:tc>
              <w:tc>
                <w:tcPr>
                  <w:tcW w:type="dxa" w:w="2703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Our Approach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0 — Mode</w:t>
                  </w:r>
                </w:p>
              </w:tc>
              <w:tc>
                <w:tcPr>
                  <w:tcW w:type="dxa" w:w="20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Gut-feel / tradition</w:t>
                  </w:r>
                </w:p>
              </w:tc>
              <w:tc>
                <w:tcPr>
                  <w:tcW w:type="dxa" w:w="270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Random Forest + SHAP mode choice model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1 — Analyst</w:t>
                  </w:r>
                </w:p>
              </w:tc>
              <w:tc>
                <w:tcPr>
                  <w:tcW w:type="dxa" w:w="20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Same criteria all modes</w:t>
                  </w:r>
                </w:p>
              </w:tc>
              <w:tc>
                <w:tcPr>
                  <w:tcW w:type="dxa" w:w="270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AHP-TOPSIS with mode-specific weight profiles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2 — Predictor</w:t>
                  </w:r>
                </w:p>
              </w:tc>
              <w:tc>
                <w:tcPr>
                  <w:tcW w:type="dxa" w:w="20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One model fits all modes</w:t>
                  </w:r>
                </w:p>
              </w:tc>
              <w:tc>
                <w:tcPr>
                  <w:tcW w:type="dxa" w:w="270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Separate LightGBM/LSTM/XGBoost per mode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3 — Strategist</w:t>
                  </w:r>
                </w:p>
              </w:tc>
              <w:tc>
                <w:tcPr>
                  <w:tcW w:type="dxa" w:w="20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Cheapest carrier, default mode</w:t>
                  </w:r>
                </w:p>
              </w:tc>
              <w:tc>
                <w:tcPr>
                  <w:tcW w:type="dxa" w:w="2703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Multi-objective MILP: mode + carrier jointly</w:t>
                  </w:r>
                </w:p>
              </w:tc>
            </w:tr>
          </w:tbl>
          <w:p/>
        </w:tc>
      </w:tr>
    </w:tbl>
    <w:p>
      <w:pPr>
        <w:spacing w:before="55" w:after="0"/>
      </w:pPr>
    </w:p>
    <w:p>
      <w:pPr>
        <w:pBdr>
          <w:bottom w:val="single" w:color="1B3A6B" w:sz="5"/>
        </w:pBdr>
        <w:spacing w:before="75" w:after="38"/>
      </w:pPr>
      <w:r>
        <w:rPr>
          <w:rFonts w:ascii="Arial" w:cs="Arial" w:eastAsia="Arial" w:hAnsi="Arial"/>
          <w:b/>
          <w:bCs/>
          <w:caps/>
          <w:color w:val="1B3A6B"/>
          <w:sz w:val="18"/>
          <w:szCs w:val="18"/>
        </w:rPr>
        <w:t xml:space="preserve">③  AI / Agent / Optimization Techniques</w:t>
      </w:r>
    </w:p>
    <w:p>
      <w:pPr>
        <w:spacing w:before="10" w:after="0"/>
      </w:pPr>
    </w:p>
    <w:tbl>
      <w:tblPr>
        <w:tblW w:type="dxa" w:w="11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3793"/>
        <w:gridCol w:w="1780"/>
        <w:gridCol w:w="3793"/>
      </w:tblGrid>
      <w:tr>
        <w:tc>
          <w:tcPr>
            <w:tcW w:type="dxa" w:w="1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379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Techniques &amp; Tools</w:t>
            </w:r>
          </w:p>
        </w:tc>
        <w:tc>
          <w:tcPr>
            <w:tcW w:type="dxa" w:w="1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3793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Techniques &amp; Tools</w:t>
            </w:r>
          </w:p>
        </w:tc>
      </w:tr>
      <w:tr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Mode Selection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FFFFF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Random Forest + SHAP for mode choice — inputs: weight, volume, urgency, commodity, distance, carbon budget, lane history. Outputs probability distribution across modes (e.g., 60% ocean / 25% rail / 15% air) enabling volume splitting by the Strategist.</w:t>
            </w:r>
          </w:p>
        </w:tc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Bid Normalisation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FFFFF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LLM-powered parser (GPT-4 / Gemini) extracts bids from PDFs, email, Excel across all 4 mode formats. Mode-specific schema mapping + all-in cost calculator (surcharges, THC, BAF, FSC). Converts everything to $/ton-km for cross-modal comparison.</w:t>
            </w:r>
          </w:p>
        </w:tc>
      </w:tr>
      <w:tr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Carrier Scoring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4F6FA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Hybrid AHP-TOPSIS with calibrated mode-specific weight profiles. XGBoost adjusts AHP weights per lane cluster — high rate-volatility lanes (ocean) auto-upweight rate stability. Cross-modal min-max normalisation to universal 0–100 score.</w:t>
            </w:r>
          </w:p>
        </w:tc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Risk Prediction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4F6FA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Mode-specific models: Road → LightGBM (delay classifier); Ocean → LSTM + Survival model (port congestion + blank sailing risk); Air → Gradient Boosting (flight delay); Rail → XGBoost (transit estimator). Prophet for rate forecasting all modes.</w:t>
            </w:r>
          </w:p>
        </w:tc>
      </w:tr>
      <w:tr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Cross-Modal Optimisation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FFFFF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Multi-Objective MILP (Google OR-Tools / PuLP) simultaneously assigns mode + carrier for each shipment. Minimises α·cost + β·risk + γ·carbon + δ·transit time. Constraints: demand coverage, capacity, delivery deadlines, carbon budgets, modal shift targets.</w:t>
            </w:r>
          </w:p>
        </w:tc>
        <w:tc>
          <w:tcPr>
            <w:tcW w:type="dxa" w:w="1780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E8F0FB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Continuous Learning</w:t>
            </w:r>
          </w:p>
        </w:tc>
        <w:tc>
          <w:tcPr>
            <w:tcW w:type="dxa" w:w="3793"/>
            <w:tcBorders>
              <w:top w:val="single" w:color="D5E0EE" w:sz="1"/>
              <w:left w:val="single" w:color="D5E0EE" w:sz="1"/>
              <w:bottom w:val="single" w:color="D5E0EE" w:sz="1"/>
              <w:right w:val="single" w:color="D5E0EE" w:sz="1"/>
            </w:tcBorders>
            <w:shd w:fill="FFFFFF" w:val="clear"/>
            <w:tcMar>
              <w:top w:type="dxa" w:w="52"/>
              <w:left w:type="dxa" w:w="90"/>
              <w:bottom w:type="dxa" w:w="52"/>
              <w:right w:type="dxa" w:w="9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5"/>
                <w:szCs w:val="15"/>
              </w:rPr>
              <w:t xml:space="preserve">Mode-stratified contextual bandits (Thompson Sampling) — separate bandit per mode ensures ocean carrier learning doesn’t pollute road models. Bayesian priors for new carriers; reward = composite of actual cost, transit, damage rate. KS-test drift detection triggers retraining.</w:t>
            </w:r>
          </w:p>
        </w:tc>
      </w:tr>
    </w:tbl>
    <w:p>
      <w:pPr>
        <w:spacing w:before="55" w:after="0"/>
      </w:pPr>
    </w:p>
    <w:p>
      <w:pPr>
        <w:pBdr>
          <w:bottom w:val="single" w:color="1B3A6B" w:sz="5"/>
        </w:pBdr>
        <w:spacing w:before="75" w:after="38"/>
      </w:pPr>
      <w:r>
        <w:rPr>
          <w:rFonts w:ascii="Arial" w:cs="Arial" w:eastAsia="Arial" w:hAnsi="Arial"/>
          <w:b/>
          <w:bCs/>
          <w:caps/>
          <w:color w:val="1B3A6B"/>
          <w:sz w:val="18"/>
          <w:szCs w:val="18"/>
        </w:rPr>
        <w:t xml:space="preserve">④  System Architecture — End-to-End Agent Pipeline</w:t>
      </w:r>
    </w:p>
    <w:p>
      <w:pPr>
        <w:spacing w:before="14" w:after="0"/>
      </w:pPr>
    </w:p>
    <w:tbl>
      <w:tblPr>
        <w:tblW w:type="dxa" w:w="11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2"/>
        <w:gridCol w:w="260"/>
        <w:gridCol w:w="2021"/>
        <w:gridCol w:w="260"/>
        <w:gridCol w:w="2021"/>
        <w:gridCol w:w="260"/>
        <w:gridCol w:w="2021"/>
        <w:gridCol w:w="260"/>
        <w:gridCol w:w="2021"/>
      </w:tblGrid>
      <w:tr>
        <w:tc>
          <w:tcPr>
            <w:tcW w:type="dxa" w:w="2022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0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BBD4" w:sz="2"/>
              </w:pBdr>
              <w:shd w:fill="1B3A6B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🔌  INGESTION</w:t>
            </w:r>
          </w:p>
          <w:p>
            <w:pPr>
              <w:spacing w:before="28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ERP / TMS / WMS historical data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Carrier bids (PDF/Excel/Email)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Market indices: CCFI, BDI, TAC, fuel</w:t>
            </w:r>
          </w:p>
          <w:p>
            <w:pPr>
              <w:spacing w:before="10" w:after="28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AIS, FlightRadar, Rail IoT telemetry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➡</w:t>
            </w:r>
          </w:p>
        </w:tc>
        <w:tc>
          <w:tcPr>
            <w:tcW w:type="dxa" w:w="202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BBD4" w:sz="2"/>
              </w:pBdr>
              <w:shd w:fill="0F5499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⚙️  PROCESSING</w:t>
            </w:r>
          </w:p>
          <w:p>
            <w:pPr>
              <w:spacing w:before="28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Multi-format LLM bid parser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Mode-specific ETL pipelines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Feature store (Feast / Redis)</w:t>
            </w:r>
          </w:p>
          <w:p>
            <w:pPr>
              <w:spacing w:before="10" w:after="28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$/ton-km cross-modal normaliser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➡</w:t>
            </w:r>
          </w:p>
        </w:tc>
        <w:tc>
          <w:tcPr>
            <w:tcW w:type="dxa" w:w="202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4E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BBD4" w:sz="2"/>
              </w:pBdr>
              <w:shd w:fill="2D5A27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🧠  FOUR-BRAIN AI</w:t>
            </w:r>
          </w:p>
          <w:p>
            <w:pPr>
              <w:spacing w:before="28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Brain 0: Mode Selector (RF+SHAP)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Brain 1: Analyst (AHP-TOPSIS)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Brain 2: Predictor (LightGBM/LSTM)</w:t>
            </w:r>
          </w:p>
          <w:p>
            <w:pPr>
              <w:spacing w:before="10" w:after="28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Brain 3: Strategist (MILP Optimiser)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➡</w:t>
            </w:r>
          </w:p>
        </w:tc>
        <w:tc>
          <w:tcPr>
            <w:tcW w:type="dxa" w:w="202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EF0E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BBD4" w:sz="2"/>
              </w:pBdr>
              <w:shd w:fill="6B3A1B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🔄  LEARNING</w:t>
            </w:r>
          </w:p>
          <w:p>
            <w:pPr>
              <w:spacing w:before="28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Actual vs. predicted feedback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Mode-stratified bandit models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Drift monitor + retrain triggers</w:t>
            </w:r>
          </w:p>
          <w:p>
            <w:pPr>
              <w:spacing w:before="10" w:after="28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Bayesian priors for new carriers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B3A6B"/>
                <w:sz w:val="24"/>
                <w:szCs w:val="24"/>
              </w:rPr>
              <w:t xml:space="preserve">➡</w:t>
            </w:r>
          </w:p>
        </w:tc>
        <w:tc>
          <w:tcPr>
            <w:tcW w:type="dxa" w:w="2021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3F4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BBD4" w:sz="2"/>
              </w:pBdr>
              <w:shd w:fill="155E75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💻  CO-PILOT UI</w:t>
            </w:r>
          </w:p>
          <w:p>
            <w:pPr>
              <w:spacing w:before="28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Mode comparison dashboard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Lane-level carrier scorecards</w:t>
            </w:r>
          </w:p>
          <w:p>
            <w:pPr>
              <w:spacing w:before="10" w:after="0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Modal shift what-if simulator</w:t>
            </w:r>
          </w:p>
          <w:p>
            <w:pPr>
              <w:spacing w:before="10" w:after="28"/>
            </w:pPr>
            <w:r>
              <w:rPr>
                <w:rFonts w:ascii="Arial" w:cs="Arial" w:eastAsia="Arial" w:hAnsi="Arial"/>
                <w:color w:val="1B3A6B"/>
                <w:sz w:val="13"/>
                <w:szCs w:val="13"/>
              </w:rPr>
              <w:t xml:space="preserve">• NL chat co-pilot (Ask the Agent)</w:t>
            </w:r>
          </w:p>
        </w:tc>
      </w:tr>
      <w:tr>
        <w:tc>
          <w:tcPr>
            <w:tcW w:type="dxa" w:w="20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>Bids + Signals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/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>Normalised Data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/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>Recommendations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/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>Corrections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/>
            </w:r>
          </w:p>
        </w:tc>
        <w:tc>
          <w:tcPr>
            <w:tcW w:type="dxa" w:w="20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4"/>
              <w:bottom w:type="dxa" w:w="4"/>
              <w:right w:type="dxa" w:w="4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FA8"/>
                <w:sz w:val="12"/>
                <w:szCs w:val="12"/>
              </w:rPr>
              <w:t xml:space="preserve">Decisions + SHAP</w:t>
            </w:r>
          </w:p>
        </w:tc>
      </w:tr>
    </w:tbl>
    <w:p>
      <w:pPr>
        <w:spacing w:before="55" w:after="0"/>
      </w:pPr>
    </w:p>
    <w:tbl>
      <w:tblPr>
        <w:tblW w:type="dxa" w:w="111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74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pBdr>
                <w:bottom w:val="single" w:color="1B3A6B" w:sz="5"/>
              </w:pBdr>
              <w:spacing w:before="75" w:after="38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8"/>
                <w:szCs w:val="18"/>
              </w:rPr>
              <w:t xml:space="preserve">⑤  Expected Impact &amp; Measurable Outcomes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1220"/>
              <w:gridCol w:w="1200"/>
              <w:gridCol w:w="1620"/>
            </w:tblGrid>
            <w:tr>
              <w:tc>
                <w:tcPr>
                  <w:tcW w:type="dxa" w:w="226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Metric</w:t>
                  </w:r>
                </w:p>
              </w:tc>
              <w:tc>
                <w:tcPr>
                  <w:tcW w:type="dxa" w:w="122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Current State</w:t>
                  </w:r>
                </w:p>
              </w:tc>
              <w:tc>
                <w:tcPr>
                  <w:tcW w:type="dxa" w:w="120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AI Target</w:t>
                  </w:r>
                </w:p>
              </w:tc>
              <w:tc>
                <w:tcPr>
                  <w:tcW w:type="dxa" w:w="162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Improvement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Freight cost (multi-modal)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Baseline spend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8–20% reduction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Modal shift + carrier opt.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RFQ cycle time (all modes)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2–4 weeks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2–3 days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10× faster procurement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On-time delivery rate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75–85% (ocean drags avg)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88–94%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Predictive risk avoidance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Bid processing capacity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50 bids/day (1 analyst)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500+ auto-processed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10× throughput gain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Carbon footprint (freight)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Baseline CO₂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10–25% reduction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Road/air → rail/ocean shift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Mode selection accuracy</w:t>
                  </w:r>
                </w:p>
              </w:tc>
              <w:tc>
                <w:tcPr>
                  <w:tcW w:type="dxa" w:w="12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Gut-feel based</w:t>
                  </w:r>
                </w:p>
              </w:tc>
              <w:tc>
                <w:tcPr>
                  <w:tcW w:type="dxa" w:w="12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85%+ accuracy</w:t>
                  </w:r>
                </w:p>
              </w:tc>
              <w:tc>
                <w:tcPr>
                  <w:tcW w:type="dxa" w:w="162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DDEE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5"/>
                      <w:szCs w:val="15"/>
                    </w:rPr>
                    <w:t xml:space="preserve">Random Forest (ArXiv validated)</w:t>
                  </w:r>
                </w:p>
              </w:tc>
            </w:tr>
          </w:tbl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444466"/>
                <w:sz w:val="13"/>
                <w:szCs w:val="13"/>
              </w:rPr>
              <w:t xml:space="preserve">💡 ROI (Illustrative): For ₹200 Cr annual freight spend — modal shift savings ₹8–12 Cr, within-mode carrier opt. ₹10 Cr, reduced delay penalties ₹3–5 Cr. Full payback expected within 3–6 months; 80% procurement team time freed for strategic work.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B3A6B" w:sz="5"/>
              </w:pBdr>
              <w:spacing w:before="75" w:after="38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18"/>
                <w:szCs w:val="18"/>
              </w:rPr>
              <w:t xml:space="preserve">⑥  Why Our Team</w:t>
            </w:r>
          </w:p>
          <w:p>
            <w:pPr>
              <w:spacing w:before="22" w:after="22"/>
            </w:pPr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16"/>
                <w:szCs w:val="16"/>
              </w:rPr>
              <w:t xml:space="preserve">Typical teams build single-mode tools. We architect a system that reasons across all four transport modes simultaneously — normalising incompatible pricing structures, running mode-specific ML models, and optimising the entire network in one MILP pass. The Four-Brain design means each brain is independently improvable, testable, and replaceable without breaking the others.</w:t>
            </w:r>
          </w:p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246"/>
            </w:tblGrid>
            <w:tr>
              <w:tc>
                <w:tcPr>
                  <w:tcW w:type="dxa" w:w="1500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Capability</w:t>
                  </w:r>
                </w:p>
              </w:tc>
              <w:tc>
                <w:tcPr>
                  <w:tcW w:type="dxa" w:w="3246"/>
                  <w:tcBorders>
                    <w:top w:val="single" w:color="B0C4DE" w:sz="1"/>
                    <w:left w:val="single" w:color="B0C4DE" w:sz="1"/>
                    <w:bottom w:val="single" w:color="B0C4DE" w:sz="1"/>
                    <w:right w:val="single" w:color="B0C4DE" w:sz="1"/>
                  </w:tcBorders>
                  <w:shd w:fill="1B3A6B" w:val="clear"/>
                  <w:tcMar>
                    <w:top w:type="dxa" w:w="55"/>
                    <w:left w:type="dxa" w:w="90"/>
                    <w:bottom w:type="dxa" w:w="55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Evidence &amp; Depth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Multi-Modal AI</w:t>
                  </w:r>
                </w:p>
              </w:tc>
              <w:tc>
                <w:tcPr>
                  <w:tcW w:type="dxa" w:w="3246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Mode-specific ML models: RF, LightGBM, LSTM, XGBoost per transport mode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LLM Bid Parsing</w:t>
                  </w:r>
                </w:p>
              </w:tc>
              <w:tc>
                <w:tcPr>
                  <w:tcW w:type="dxa" w:w="3246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GPT-4 / Gemini extraction of all 4 bid formats; schema mapping + surcharge calc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MCDM / Scoring</w:t>
                  </w:r>
                </w:p>
              </w:tc>
              <w:tc>
                <w:tcPr>
                  <w:tcW w:type="dxa" w:w="3246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AHP-TOPSIS with calibrated mode-specific weight profiles; SHAP explainability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Optimisation</w:t>
                  </w:r>
                </w:p>
              </w:tc>
              <w:tc>
                <w:tcPr>
                  <w:tcW w:type="dxa" w:w="3246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4F6FA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Multi-objective MILP (OR-Tools), Monte Carlo stress-testing, carbon constraints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E8F0FB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5"/>
                      <w:szCs w:val="15"/>
                    </w:rPr>
                    <w:t xml:space="preserve">System Design</w:t>
                  </w:r>
                </w:p>
              </w:tc>
              <w:tc>
                <w:tcPr>
                  <w:tcW w:type="dxa" w:w="3246"/>
                  <w:tcBorders>
                    <w:top w:val="single" w:color="D5E0EE" w:sz="1"/>
                    <w:left w:val="single" w:color="D5E0EE" w:sz="1"/>
                    <w:bottom w:val="single" w:color="D5E0EE" w:sz="1"/>
                    <w:right w:val="single" w:color="D5E0EE" w:sz="1"/>
                  </w:tcBorders>
                  <w:shd w:fill="FFFFFF" w:val="clear"/>
                  <w:tcMar>
                    <w:top w:type="dxa" w:w="52"/>
                    <w:left w:type="dxa" w:w="90"/>
                    <w:bottom w:type="dxa" w:w="52"/>
                    <w:right w:type="dxa" w:w="9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5"/>
                      <w:szCs w:val="15"/>
                    </w:rPr>
                    <w:t xml:space="preserve">Four-brain multi-agent architecture; event-driven; mode-stratified bandit learning</w:t>
                  </w:r>
                </w:p>
              </w:tc>
            </w:tr>
          </w:tbl>
          <w:p>
            <w:pPr>
              <w:spacing w:before="28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3"/>
                <w:szCs w:val="13"/>
              </w:rPr>
              <w:t xml:space="preserve">🗓  Ph1: Data + Normalisation (Wk1–3)  →  Ph2: Mode Selection + Scoring (Wk4–6)  →  Ph3: Prediction + MILP (Wk7–9)  →  Ph4: Co-Pilot + Learning (Wk10–12)</w:t>
            </w:r>
          </w:p>
        </w:tc>
      </w:tr>
    </w:tbl>
    <w:sectPr>
      <w:pgSz w:w="11906" w:h="16838" w:orient="portrait"/>
      <w:pgMar w:top="380" w:right="380" w:bottom="380" w:left="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2026-03-03T08:52:10.048Z</dcterms:created>
  <dcterms:modified xsi:type="dcterms:W3CDTF">2026-03-03T08:52:10.051Z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