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0"/>
          <w:szCs w:val="30"/>
        </w:rPr>
        <w:t xml:space="preserve">CompGraphRAG: A Knowledge Graph-Augmented Retrieval Framework for Intelligent Enterprise Compliance Workflows — A HIPAA Case Study</w:t>
      </w:r>
    </w:p>
    <w:p>
      <w:pPr>
        <w:spacing w:after="40"/>
        <w:jc w:val="center"/>
      </w:pPr>
      <w:r>
        <w:rPr>
          <w:rFonts w:ascii="Times New Roman" w:cs="Times New Roman" w:eastAsia="Times New Roman" w:hAnsi="Times New Roman"/>
          <w:sz w:val="22"/>
          <w:szCs w:val="22"/>
        </w:rPr>
        <w:t xml:space="preserve">Mahaboob Johny Shaik</w:t>
      </w:r>
    </w:p>
    <w:p>
      <w:pPr>
        <w:spacing w:after="40"/>
        <w:jc w:val="center"/>
      </w:pPr>
      <w:r>
        <w:rPr>
          <w:rFonts w:ascii="Times New Roman" w:cs="Times New Roman" w:eastAsia="Times New Roman" w:hAnsi="Times New Roman"/>
          <w:i/>
          <w:iCs/>
          <w:sz w:val="20"/>
          <w:szCs w:val="20"/>
        </w:rPr>
        <w:t xml:space="preserve">Independent Researcher — Denton, TX, USA</w:t>
      </w:r>
    </w:p>
    <w:p>
      <w:pPr>
        <w:spacing w:after="400"/>
        <w:jc w:val="center"/>
      </w:pPr>
      <w:r>
        <w:rPr>
          <w:rFonts w:ascii="Times New Roman" w:cs="Times New Roman" w:eastAsia="Times New Roman" w:hAnsi="Times New Roman"/>
          <w:sz w:val="20"/>
          <w:szCs w:val="20"/>
        </w:rPr>
        <w:t xml:space="preserve">Email: Mahaboobshaikusa@gmail.com</w:t>
      </w:r>
    </w:p>
    <w:p>
      <w:pPr>
        <w:pStyle w:val="Heading1"/>
        <w:spacing w:after="200" w:before="400"/>
      </w:pPr>
      <w:r>
        <w:rPr>
          <w:rFonts w:ascii="Times New Roman" w:cs="Times New Roman" w:eastAsia="Times New Roman" w:hAnsi="Times New Roman"/>
          <w:b/>
          <w:bCs/>
          <w:sz w:val="26"/>
          <w:szCs w:val="26"/>
        </w:rPr>
        <w:t xml:space="preserve">Abstract</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Enterprise compliance determination — for example, deciding whether a healthcare data disclosure satisfies HIPAA — requires reasoning across relationally distributed documents: regulations, contracts, policies, and access logs. Standard vector-based Retrieval-Augmented Generation (RAG) treats these as flat, isolated chunks and lacks auditable justification trails or calibrated uncertainty, limiting its suitability for high-stakes compliance auditing. We present CompGraphRAG, a framework combining (1) a schema-based knowledge-graph ontology (TBox/ABox) with temporal versioning, (2) a hybrid retrieval score combining dense similarity, graph-path decay, and Personalized PageRank authority, (3) a neuro-symbolic rule-check layer that evaluates regulatory exceptions before generation, (4) audit-grade explainability via justification subgraphs scored with a quantitative faithfulness metric, and (5) split conformal prediction that routes low-confidence determinations to human review.</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Compliance determination is formalized as f: Q × D × G → (d, c, π) and evaluated on a 24-item synthetic HIPAA compliance-QA benchmark (six items each at 1-, 2-, 3-, and 4-hop complexity) using a real sentence encoder (all-MiniLM-L6-v2) against two fairness-matched baselines sharing CompGraphRAG's rule-based answer-readout step. CompGraphRAG achieved 100.0% overall accuracy (24/24) versus 87.5% (21/24) for both baselines, outperforming them at 1- and 2-hop and tying at 3- and 4-hop (paired t-test p = 0.0830; Wilcoxon p = 0.0833; N = 24; Cohen's d ≈ 0.37). Neither test clears the 0.05 threshold, so this is reported as a promising but not yet statistically confirmed accuracy advantage rather than proof of the paper's original hop-scaling hypothesis.</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The same evaluation shows CompGraphRAG's justification subgraphs are non-tautologically faithful to retrieved evidence (mean F1 = 0.9679) and its conformal layer achieves a calibration error of 0.0114 against 90% target coverage. Entity-linking precision is low (0.2191) despite high recall (0.8438), yet end-to-end accuracy remained 100%, a result flagged as requiring its own ablation before being treated as a robust architectural property. CompGraphRAG's contribution is therefore a mechanistically-explainable, real-but-unconfirmed accuracy advantage combined with audit-grade explainability and calibrated uncertainty for compliance determination; full statistical validation plans and threats to validity are reported to support future, larger-scale testing.</w:t>
      </w:r>
    </w:p>
    <w:p>
      <w:pPr>
        <w:spacing w:after="300" w:before="0" w:line="276"/>
        <w:jc w:val="both"/>
      </w:pPr>
      <w:r>
        <w:rPr>
          <w:rFonts w:ascii="Times New Roman" w:cs="Times New Roman" w:eastAsia="Times New Roman" w:hAnsi="Times New Roman"/>
          <w:b w:val="false"/>
          <w:bCs w:val="false"/>
          <w:i/>
          <w:iCs/>
          <w:sz w:val="20"/>
          <w:szCs w:val="20"/>
        </w:rPr>
        <w:t xml:space="preserve">Keywords: Retrieval-Augmented Generation; Knowledge Graphs; HIPAA Compliance; Explainable AI; Conformal Prediction; Multi-Hop QA</w:t>
      </w:r>
    </w:p>
    <w:p>
      <w:pPr>
        <w:pStyle w:val="Heading1"/>
        <w:spacing w:after="200" w:before="400"/>
      </w:pPr>
      <w:r>
        <w:rPr>
          <w:rFonts w:ascii="Times New Roman" w:cs="Times New Roman" w:eastAsia="Times New Roman" w:hAnsi="Times New Roman"/>
          <w:b/>
          <w:bCs/>
          <w:sz w:val="26"/>
          <w:szCs w:val="26"/>
        </w:rPr>
        <w:t xml:space="preserve">Introduction</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Healthcare organizations and their business associates operate under continuous obligations to demonstrate that patient-data handling complies with the Health Insurance Portability and Accountability Act (HIPAA) Privacy and Security Rules. A single compliance question is a good illustration of why this is hard: whether a named recipient may receive a described disclosure for a stated purpose often cannot be answered from one document alone. Answering it typically means chaining together a policy clause, a role or permission definition, a data-flow description, and, where relevant, a business-associate agreement or a treatment/payment/operations (TPO) exception, drawn from several distinct source documents. The underlying problem is relationally distributed and multi-hop; it is not a single-passage lookup task.</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Retrieval-Augmented Generation (RAG) [1] has become the dominant pattern for grounding large language model (LLM) outputs in external documents. Conventional dense-vector RAG, however, retrieves independently ranked passages and has no native representation of the entities and relations that connect them. Graph-augmented alternatives such as Microsoft's GraphRAG [2], LightRAG [3], and HippoRAG [4] close part of that gap by explicitly modeling entities and relationships as a graph; each has shown that graph-mediated retrieval improves performance on questions requiring synthesis across documents. None of these three systems, though, was designed for a regulated compliance domain. They lack a formally typed regulatory schema, a mechanism for enforcing declarative regulatory exceptions before generation, a machine-checkable explanation artifact suitable for an audit trail, and a calibrated confidence signal capable of safely routing uncertain determinations to a human reviewer. In a HIPAA compliance setting these are close to mandatory requirements, not optional conveniences.</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Each neighboring line of work falls short of compliance determination for a specific, identifiable reason. GraphRAG's community-detection summarization [2] targets corpus-wide synthesis questions such as “what are the main themes in this corpus,” a different task from tracing a single, auditable chain of evidence to a binary or three-way legal determination; its output is a synthesized narrative, not a checkable path attached to a citable rule. LightRAG [3] and HippoRAG [4] improve multi-hop retrieval efficiency and recall, yet neither attaches a declarative rule layer capable of enforcing a regulatory exception before generation, and neither has a formally typed schema that distinguishes a Role from an Exception from an Incident. Legal-NLP systems trained on datasets such as CUAD [6] are effective at span-level clause classification within a single contract, but are not built to chain evidence across independently-versioned regulations, roles, and incident logs, and do not output a calibrated confidence that can trigger human review. General healthcare-domain RAG and clinical QA systems typically optimize for clinical-question answering accuracy alone, not for the safety requirement this domain imposes: a determination that is wrong with high confidence is worse than one flagged for review, which motivates the conformal safety-routing layer described later in this paper.</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This paper set out to test one falsifiable, quantitative hypothesis: the marginal accuracy benefit of knowledge-graph-augmented retrieval over dense-vector retrieval should scale with the hop-distance of a query. Under the controlled, fairness-matched evaluation reported in the Results section, CompGraphRAG achieved 100.0% accuracy overall against 87.5% for both baselines, outperforming them specifically at 1- and 2-hop and tying at 3- and 4-hop — the opposite of a monotonically increasing advantage, and not yet statistically significant at this sample size (p ≈ 0.083, N = 24). This is reported as the paper's primary empirical finding: a real, code-verified accuracy advantage exists, but its shape does not confirm the original hop-scaling hypothesis, and its significance is not yet established. What the same evaluation also supports, and what is contributed as a second, independent systems claim, is an audit-grade architecture (Fig. 2) in which explainability and calibrated uncertainty are first-class, independently-measured outputs of the pipeline rather than post-hoc narration.</w:t>
      </w:r>
    </w:p>
    <w:p>
      <w:pPr>
        <w:pStyle w:val="Heading2"/>
        <w:spacing w:after="150" w:before="300"/>
      </w:pPr>
      <w:r>
        <w:rPr>
          <w:rFonts w:ascii="Times New Roman" w:cs="Times New Roman" w:eastAsia="Times New Roman" w:hAnsi="Times New Roman"/>
          <w:b/>
          <w:bCs/>
          <w:i/>
          <w:iCs/>
          <w:sz w:val="23"/>
          <w:szCs w:val="23"/>
        </w:rPr>
        <w:t xml:space="preserve">Contributions</w:t>
      </w:r>
    </w:p>
    <w:p>
      <w:pPr>
        <w:spacing w:after="80" w:before="0" w:line="276"/>
        <w:jc w:val="both"/>
      </w:pPr>
      <w:r>
        <w:rPr>
          <w:rFonts w:ascii="Times New Roman" w:cs="Times New Roman" w:eastAsia="Times New Roman" w:hAnsi="Times New Roman"/>
          <w:b w:val="false"/>
          <w:bCs w:val="false"/>
          <w:i w:val="false"/>
          <w:iCs w:val="false"/>
          <w:sz w:val="22"/>
          <w:szCs w:val="22"/>
        </w:rPr>
        <w:t xml:space="preserve">• A formal problem definition for compliance determination as a function over a query, a document corpus, and a typed knowledge graph, yielding a determination, a calibrated confidence, and a justification subgraph.</w:t>
      </w:r>
    </w:p>
    <w:p>
      <w:pPr>
        <w:spacing w:after="80" w:before="0" w:line="276"/>
        <w:jc w:val="both"/>
      </w:pPr>
      <w:r>
        <w:rPr>
          <w:rFonts w:ascii="Times New Roman" w:cs="Times New Roman" w:eastAsia="Times New Roman" w:hAnsi="Times New Roman"/>
          <w:b w:val="false"/>
          <w:bCs w:val="false"/>
          <w:i w:val="false"/>
          <w:iCs w:val="false"/>
          <w:sz w:val="22"/>
          <w:szCs w:val="22"/>
        </w:rPr>
        <w:t xml:space="preserve">• A schema-based knowledge-graph ontology for HIPAA compliance with explicit temporal-versioning fields (Fig. 1), and a hybrid retrieval scoring function combining dense similarity, graph-path decay, and node authority.</w:t>
      </w:r>
    </w:p>
    <w:p>
      <w:pPr>
        <w:spacing w:after="80" w:before="0" w:line="276"/>
        <w:jc w:val="both"/>
      </w:pPr>
      <w:r>
        <w:rPr>
          <w:rFonts w:ascii="Times New Roman" w:cs="Times New Roman" w:eastAsia="Times New Roman" w:hAnsi="Times New Roman"/>
          <w:b w:val="false"/>
          <w:bCs w:val="false"/>
          <w:i w:val="false"/>
          <w:iCs w:val="false"/>
          <w:sz w:val="22"/>
          <w:szCs w:val="22"/>
        </w:rPr>
        <w:t xml:space="preserve">• A neuro-symbolic rule-check layer that evaluates declarative regulatory exceptions before LLM generation, and an audit-grade explainability mechanism with a quantitative faithfulness metric.</w:t>
      </w:r>
    </w:p>
    <w:p>
      <w:pPr>
        <w:spacing w:after="80" w:before="0" w:line="276"/>
        <w:jc w:val="both"/>
      </w:pPr>
      <w:r>
        <w:rPr>
          <w:rFonts w:ascii="Times New Roman" w:cs="Times New Roman" w:eastAsia="Times New Roman" w:hAnsi="Times New Roman"/>
          <w:b w:val="false"/>
          <w:bCs w:val="false"/>
          <w:i w:val="false"/>
          <w:iCs w:val="false"/>
          <w:sz w:val="22"/>
          <w:szCs w:val="22"/>
        </w:rPr>
        <w:t xml:space="preserve">• A split-conformal-prediction uncertainty layer with a safety-routing rule for low-confidence determinations.</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 A 24-item benchmark evaluation, an explicit statistical validation and ablation protocol for scaling to a fully powered study, and an honest accounting of the threats to validity and ethical scope constraints of the current work.</w:t>
      </w:r>
    </w:p>
    <w:p>
      <w:pPr>
        <w:pStyle w:val="Heading2"/>
        <w:spacing w:after="150" w:before="300"/>
      </w:pPr>
      <w:r>
        <w:rPr>
          <w:rFonts w:ascii="Times New Roman" w:cs="Times New Roman" w:eastAsia="Times New Roman" w:hAnsi="Times New Roman"/>
          <w:b/>
          <w:bCs/>
          <w:i/>
          <w:iCs/>
          <w:sz w:val="23"/>
          <w:szCs w:val="23"/>
        </w:rPr>
        <w:t xml:space="preserve">Related Work</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Document Intelligence and Layout-Aware Extraction. Enterprise compliance corpora are rarely clean plain text; they include scanned policies, tabular access logs, and forms whose meaning depends on two-dimensional layout. LayoutLMv3 [5] pre-trains a multimodal Transformer with unified text and image masking and a word-patch alignment objective, achieving strong performance on both text-centric and image-centric document tasks. CompGraphRAG's ingestion stage assumes a layout-aware extractor from this family, so that structured fields such as clause identifiers, effective dates, and table cells in access logs survive into the knowledge-graph construction stage instead of being flattened into undifferentiated text.</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Knowledge-Graph-Augmented RAG. RAG [1] grounds LLM generation in retrieved passages but treats each passage independently. GraphRAG [2] instead constructs an entity-level knowledge graph from the corpus, applies community detection, and answers queries by retrieving and summarizing query-relevant communities, improving performance on corpus-wide, synthesis-style questions. LightRAG [3] replaces GraphRAG's hierarchical community summarization with a dual-level indexing and retrieval scheme, aiming to reduce indexing cost while retaining graph-structured retrieval benefits. HippoRAG [4] applies Personalized PageRank (PPR) over an LLM-constructed knowledge graph, inspired by the hippocampal indexing theory of human long-term memory, to retrieve multi-hop evidence in a single pass. CompGraphRAG's Authority(x) term is a direct, explicitly-cited adoption of PPR-based authority scoring from this line of work, combined as an original design choice here with a TBox-typed compliance schema and a decay-weighted path score.</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Compliance Automation and Legal NLP. The Contract Understanding Atticus Dataset (CUAD) [6] is an expert-annotated legal-contract-review dataset built with practicing lawyers, containing over 13,000 annotations across 41 clause types, framed as a span-selection question-answering task. CUAD is not HIPAA-specific, but its expert-annotation protocol is adopted here as the methodological template for the HIPAA compliance-QA dataset described in the Materials and Methods section.</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Healthcare Explainable AI and Graph-Path Explanations. Explainability methods for LLM- and graph-based question answering commonly return either a feature-attribution score over the input or the traversed subgraph itself as the explanation. Joint entity-and-relation linking systems such as EARL [16] illustrate the latter pattern. CompGraphRAG adopts this graph-native explanation modality, returning the justification subgraph π directly rather than relying on a post-hoc feature-attribution method.</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Uncertainty Quantification and Conformal Prediction in LLMs. LLMs are documented to produce plausible but incorrect responses, and raw softmax- or logit-derived confidence is a well-known poor proxy for true correctness likelihood in high-stakes domains such as healthcare and law [13]. Conformal prediction offers a model-agnostic, distribution-free alternative; applied to multiple-choice question answering, conformal methods have been shown to produce uncertainty estimates tightly correlated with prediction accuracy [12]. CompGraphRAG's uncertainty layer applies split conformal prediction directly in this tradition, adapted to a three-way compliance determination in place of multiple-choice QA.</w:t>
      </w:r>
    </w:p>
    <w:p>
      <w:pPr>
        <w:spacing w:after="300" w:before="0" w:line="276"/>
        <w:jc w:val="both"/>
      </w:pPr>
      <w:r>
        <w:rPr>
          <w:rFonts w:ascii="Times New Roman" w:cs="Times New Roman" w:eastAsia="Times New Roman" w:hAnsi="Times New Roman"/>
          <w:b w:val="false"/>
          <w:bCs w:val="false"/>
          <w:i w:val="false"/>
          <w:iCs w:val="false"/>
          <w:sz w:val="22"/>
          <w:szCs w:val="22"/>
        </w:rPr>
        <w:t xml:space="preserve">Privacy and RAG Retrieval-Leakage Bounds. RAG systems can leak information about individual documents in the retrieval corpus even when the underlying LLM was never fine-tuned on that data, through confidence- and similarity-based membership-inference attacks [17]. Differential-privacy mechanisms for RAG have been proposed specifically to bound this leakage [14]. These results motivate the explicit threat-model distinction drawn in the Materials and Methods section, which separates infrastructure-level confidentiality from retrieval-leakage risk.</w:t>
      </w:r>
    </w:p>
    <w:p>
      <w:r>
        <w:br w:type="page"/>
      </w:r>
    </w:p>
    <w:p>
      <w:pPr>
        <w:pStyle w:val="Heading1"/>
        <w:spacing w:after="200" w:before="400"/>
      </w:pPr>
      <w:r>
        <w:rPr>
          <w:rFonts w:ascii="Times New Roman" w:cs="Times New Roman" w:eastAsia="Times New Roman" w:hAnsi="Times New Roman"/>
          <w:b/>
          <w:bCs/>
          <w:sz w:val="26"/>
          <w:szCs w:val="26"/>
        </w:rPr>
        <w:t xml:space="preserve">Materials and Methods</w:t>
      </w:r>
    </w:p>
    <w:p>
      <w:pPr>
        <w:pStyle w:val="Heading2"/>
        <w:spacing w:after="150" w:before="300"/>
      </w:pPr>
      <w:r>
        <w:rPr>
          <w:rFonts w:ascii="Times New Roman" w:cs="Times New Roman" w:eastAsia="Times New Roman" w:hAnsi="Times New Roman"/>
          <w:b/>
          <w:bCs/>
          <w:i/>
          <w:iCs/>
          <w:sz w:val="23"/>
          <w:szCs w:val="23"/>
        </w:rPr>
        <w:t xml:space="preserve">Formal Definition of the Compliance Determination Function</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Let D denote a corpus of heterogeneous enterprise compliance documents, q ∈ Q a compliance query, and G = (V, E, τ, λ) a knowledge graph constructed under a formal TBox ontology, where V is the set of entity nodes, E the set of typed relation edges, τ: V → C maps nodes to TBox classes, and λ: E → R maps edges to TBox relations. The compliance determination function is defined as:</w:t>
      </w:r>
    </w:p>
    <w:p>
      <w:pPr>
        <w:tabs>
          <w:tab w:val="right" w:pos="9350"/>
        </w:tabs>
        <w:spacing w:after="150" w:before="150"/>
        <w:jc w:val="center"/>
      </w:pPr>
      <w:r>
        <w:rPr>
          <w:rFonts w:ascii="Cambria Math" w:cs="Cambria Math" w:eastAsia="Cambria Math" w:hAnsi="Cambria Math"/>
          <w:sz w:val="22"/>
          <w:szCs w:val="22"/>
        </w:rPr>
        <w:t xml:space="preserve">f : Q × D × G → (d, c, π)</w:t>
      </w:r>
      <w:r>
        <w:rPr>
          <w:rFonts w:ascii="Times New Roman" w:cs="Times New Roman" w:eastAsia="Times New Roman" w:hAnsi="Times New Roman"/>
          <w:sz w:val="22"/>
          <w:szCs w:val="22"/>
        </w:rPr>
        <w:t xml:space="preserve">	(1)</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where d ∈ {COMPLIANT, NON-COMPLIANT, REQUIRES-REVIEW} is the determination, c ∈ [0,1] is a calibrated conformal confidence score, and π ⊆ G is a justification subgraph — one or more traversed paths, sufficient to entail d under a regulatory rule set ℛ. This definition makes three otherwise informal claims precise. “Multi-hop” becomes a statement about the path length within G that connects q to its supporting evidence. “Explainable” becomes a statement that π is a returned, checkable artifact and not a free-form narrative. “Safety-aware” becomes a statement that REQUIRES-REVIEW is a first-class output value, not an afterthought bolted onto a binary classifier.</w:t>
      </w:r>
    </w:p>
    <w:p>
      <w:pPr>
        <w:pStyle w:val="Heading2"/>
        <w:spacing w:after="150" w:before="300"/>
      </w:pPr>
      <w:r>
        <w:rPr>
          <w:rFonts w:ascii="Times New Roman" w:cs="Times New Roman" w:eastAsia="Times New Roman" w:hAnsi="Times New Roman"/>
          <w:b/>
          <w:bCs/>
          <w:i/>
          <w:iCs/>
          <w:sz w:val="23"/>
          <w:szCs w:val="23"/>
        </w:rPr>
        <w:t xml:space="preserve">Compliance TBox Ontology</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CompGraphRAG separates a TBox (class and relation schema) from an ABox (instance assertions extracted per document), following the schema-based knowledge-graph-construction paradigm surveyed by Bian [18]. Table I summarizes the top-level TBox classes used in the HIPAA case study; each instance additionally carries source_document_id, page_span, effective_date, regulation_version, and an optional superseded_by edge, so a rule change can be represented explicitly instead of silently overwriting prior graph state. Fig. 1 renders this schema as a class diagram.</w:t>
      </w:r>
    </w:p>
    <w:p>
      <w:pPr>
        <w:spacing w:after="300" w:before="100"/>
        <w:jc w:val="center"/>
      </w:pPr>
      <w:r>
        <w:rPr>
          <w:rFonts w:ascii="Times New Roman" w:cs="Times New Roman" w:eastAsia="Times New Roman" w:hAnsi="Times New Roman"/>
          <w:i/>
          <w:iCs/>
          <w:sz w:val="20"/>
          <w:szCs w:val="20"/>
        </w:rPr>
        <w:t xml:space="preserve">TABLE I. HIPAA COMPLIANCE TBOX — TOP-LEVEL CLASSES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50"/>
      </w:tblGrid>
      <w:tr>
        <w:tc>
          <w:tcPr>
            <w:tcW w:type="dxa" w:w="26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19"/>
                <w:szCs w:val="19"/>
              </w:rPr>
              <w:t xml:space="preserve">TBox Class</w:t>
            </w:r>
          </w:p>
        </w:tc>
        <w:tc>
          <w:tcPr>
            <w:tcW w:type="dxa" w:w="42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19"/>
                <w:szCs w:val="19"/>
              </w:rPr>
              <w:t xml:space="preserve">Description</w:t>
            </w:r>
          </w:p>
        </w:tc>
        <w:tc>
          <w:tcPr>
            <w:tcW w:type="dxa" w:w="255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19"/>
                <w:szCs w:val="19"/>
              </w:rPr>
              <w:t xml:space="preserve">Example Relation</w:t>
            </w:r>
          </w:p>
        </w:tc>
      </w:tr>
      <w:tr>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Regulation ⊃ Rule ⊃ Obligation</w:t>
            </w:r>
          </w:p>
        </w:tc>
        <w:tc>
          <w:tcPr>
            <w:tcW w:type="dxa" w:w="4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Statutory/regulatory hierarchy</w:t>
            </w:r>
          </w:p>
        </w:tc>
        <w:tc>
          <w:tcPr>
            <w:tcW w:type="dxa" w:w="25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governs</w:t>
            </w:r>
          </w:p>
        </w:tc>
      </w:tr>
      <w:tr>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Role</w:t>
            </w:r>
          </w:p>
        </w:tc>
        <w:tc>
          <w:tcPr>
            <w:tcW w:type="dxa" w:w="4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Covered Entity, Business Associate, Workforce Member</w:t>
            </w:r>
          </w:p>
        </w:tc>
        <w:tc>
          <w:tcPr>
            <w:tcW w:type="dxa" w:w="25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has_role</w:t>
            </w:r>
          </w:p>
        </w:tc>
      </w:tr>
      <w:tr>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DataType</w:t>
            </w:r>
          </w:p>
        </w:tc>
        <w:tc>
          <w:tcPr>
            <w:tcW w:type="dxa" w:w="4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PHI category referenced by a disclosure</w:t>
            </w:r>
          </w:p>
        </w:tc>
        <w:tc>
          <w:tcPr>
            <w:tcW w:type="dxa" w:w="25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permits_access_to</w:t>
            </w:r>
          </w:p>
        </w:tc>
      </w:tr>
      <w:tr>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Disclosure</w:t>
            </w:r>
          </w:p>
        </w:tc>
        <w:tc>
          <w:tcPr>
            <w:tcW w:type="dxa" w:w="4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A described data-sharing event or request</w:t>
            </w:r>
          </w:p>
        </w:tc>
        <w:tc>
          <w:tcPr>
            <w:tcW w:type="dxa" w:w="25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subject_to_exception</w:t>
            </w:r>
          </w:p>
        </w:tc>
      </w:tr>
      <w:tr>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Exception</w:t>
            </w:r>
          </w:p>
        </w:tc>
        <w:tc>
          <w:tcPr>
            <w:tcW w:type="dxa" w:w="4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TPO / minimum-necessary carve-outs</w:t>
            </w:r>
          </w:p>
        </w:tc>
        <w:tc>
          <w:tcPr>
            <w:tcW w:type="dxa" w:w="25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logged_as</w:t>
            </w:r>
          </w:p>
        </w:tc>
      </w:tr>
      <w:tr>
        <w:tc>
          <w:tcPr>
            <w:tcW w:type="dxa" w:w="26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Incident</w:t>
            </w:r>
          </w:p>
        </w:tc>
        <w:tc>
          <w:tcPr>
            <w:tcW w:type="dxa" w:w="42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An access-log or audit event instance</w:t>
            </w:r>
          </w:p>
        </w:tc>
        <w:tc>
          <w:tcPr>
            <w:tcW w:type="dxa" w:w="25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derived_from</w:t>
            </w:r>
          </w:p>
        </w:tc>
      </w:tr>
    </w:tbl>
    <w:p>
      <w:pPr>
        <w:spacing w:after="100" w:before="200"/>
        <w:jc w:val="center"/>
      </w:pPr>
      <w:r>
        <w:drawing>
          <wp:inline distT="0" distB="0" distL="0" distR="0">
            <wp:extent cx="384048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40480" cy="3429000"/>
                    </a:xfrm>
                    <a:prstGeom prst="rect">
                      <a:avLst/>
                    </a:prstGeom>
                  </pic:spPr>
                </pic:pic>
              </a:graphicData>
            </a:graphic>
          </wp:inline>
        </w:drawing>
      </w:r>
    </w:p>
    <w:p>
      <w:pPr>
        <w:spacing w:after="300" w:before="100"/>
        <w:jc w:val="center"/>
      </w:pPr>
      <w:r>
        <w:rPr>
          <w:rFonts w:ascii="Times New Roman" w:cs="Times New Roman" w:eastAsia="Times New Roman" w:hAnsi="Times New Roman"/>
          <w:i/>
          <w:iCs/>
          <w:sz w:val="20"/>
          <w:szCs w:val="20"/>
        </w:rPr>
        <w:t xml:space="preserve">Fig. 1. CompGraphRAG HIPAA compliance TBox as a class diagram. Boxes are TBox classes (Table I); labeled arrows are the six top-level relations. Each instance additionally carries the ABox attributes shown at the bottom.</w:t>
      </w:r>
    </w:p>
    <w:p>
      <w:pPr>
        <w:pStyle w:val="Heading2"/>
        <w:spacing w:after="150" w:before="300"/>
      </w:pPr>
      <w:r>
        <w:rPr>
          <w:rFonts w:ascii="Times New Roman" w:cs="Times New Roman" w:eastAsia="Times New Roman" w:hAnsi="Times New Roman"/>
          <w:b/>
          <w:bCs/>
          <w:i/>
          <w:iCs/>
          <w:sz w:val="23"/>
          <w:szCs w:val="23"/>
        </w:rPr>
        <w:t xml:space="preserve">Excluded Scope</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CompGraphRAG is a decision-support tool. Its output, whether the determination d or the confidence c, is explicitly not permitted to serve as the sole basis for a legal liability determination without human compliance-officer review. The REQUIRES-REVIEW category and the safety-routing rule described below are designed to enforce this boundary operationally, going beyond a policy statement alone.</w:t>
      </w:r>
    </w:p>
    <w:p>
      <w:pPr>
        <w:pStyle w:val="Heading2"/>
        <w:spacing w:after="150" w:before="300"/>
      </w:pPr>
      <w:r>
        <w:rPr>
          <w:rFonts w:ascii="Times New Roman" w:cs="Times New Roman" w:eastAsia="Times New Roman" w:hAnsi="Times New Roman"/>
          <w:b/>
          <w:bCs/>
          <w:i/>
          <w:iCs/>
          <w:sz w:val="23"/>
          <w:szCs w:val="23"/>
        </w:rPr>
        <w:t xml:space="preserve">CompGraphRAG Architecture</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Fig. 2 shows the end-to-end pipeline described in this section. Ingestion and de-identification feed a dual construction of a typed knowledge graph and a dense chunk index; both are jointly queried by the hybrid retrieval engine, checked against declarative rules, and finally rendered as a joint explainability and conformal-uncertainty output.</w:t>
      </w:r>
    </w:p>
    <w:p>
      <w:pPr>
        <w:spacing w:after="100" w:before="200"/>
        <w:jc w:val="center"/>
      </w:pPr>
      <w:r>
        <w:drawing>
          <wp:inline distT="0" distB="0" distL="0" distR="0">
            <wp:extent cx="4206240" cy="52120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06240" cy="5212080"/>
                    </a:xfrm>
                    <a:prstGeom prst="rect">
                      <a:avLst/>
                    </a:prstGeom>
                  </pic:spPr>
                </pic:pic>
              </a:graphicData>
            </a:graphic>
          </wp:inline>
        </w:drawing>
      </w:r>
    </w:p>
    <w:p>
      <w:pPr>
        <w:spacing w:after="300" w:before="100"/>
        <w:jc w:val="center"/>
      </w:pPr>
      <w:r>
        <w:rPr>
          <w:rFonts w:ascii="Times New Roman" w:cs="Times New Roman" w:eastAsia="Times New Roman" w:hAnsi="Times New Roman"/>
          <w:i/>
          <w:iCs/>
          <w:sz w:val="20"/>
          <w:szCs w:val="20"/>
        </w:rPr>
        <w:t xml:space="preserve">Fig. 2. CompGraphRAG end-to-end architecture: ingestion and de-identification, dual construction of a typed knowledge graph and a dense chunk index, hybrid retrieval, neuro-symbolic rule-checking, and joint explainability / conformal-uncertainty output.</w:t>
      </w:r>
    </w:p>
    <w:p>
      <w:pPr>
        <w:pStyle w:val="Heading2"/>
        <w:spacing w:after="150" w:before="300"/>
      </w:pPr>
      <w:r>
        <w:rPr>
          <w:rFonts w:ascii="Times New Roman" w:cs="Times New Roman" w:eastAsia="Times New Roman" w:hAnsi="Times New Roman"/>
          <w:b/>
          <w:bCs/>
          <w:i/>
          <w:iCs/>
          <w:sz w:val="23"/>
          <w:szCs w:val="23"/>
        </w:rPr>
        <w:t xml:space="preserve">Ingestion and Local PII/PHI De-Identification</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Documents first pass through a layout-aware extractor and then a de-identification step that detects and generalizes personally identifiable and protected health information before any content reaches the knowledge-graph-construction or vector-indexing stages. This ordering does not rely solely on the confidentiality of the hosting infrastructure; it is a deliberate design choice, discussed further in the Security Bounds and Threat Model subsection below.</w:t>
      </w:r>
    </w:p>
    <w:p>
      <w:pPr>
        <w:pStyle w:val="Heading2"/>
        <w:spacing w:after="150" w:before="300"/>
      </w:pPr>
      <w:r>
        <w:rPr>
          <w:rFonts w:ascii="Times New Roman" w:cs="Times New Roman" w:eastAsia="Times New Roman" w:hAnsi="Times New Roman"/>
          <w:b/>
          <w:bCs/>
          <w:i/>
          <w:iCs/>
          <w:sz w:val="23"/>
          <w:szCs w:val="23"/>
        </w:rPr>
        <w:t xml:space="preserve">Hybrid Retrieval Scoring Engine</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Candidate context passages and graph nodes x are ranked for query q using a convex linear combination of three signals:</w:t>
      </w:r>
    </w:p>
    <w:p>
      <w:pPr>
        <w:tabs>
          <w:tab w:val="right" w:pos="9350"/>
        </w:tabs>
        <w:spacing w:after="150" w:before="150"/>
        <w:jc w:val="center"/>
      </w:pPr>
      <w:r>
        <w:rPr>
          <w:rFonts w:ascii="Cambria Math" w:cs="Cambria Math" w:eastAsia="Cambria Math" w:hAnsi="Cambria Math"/>
          <w:sz w:val="22"/>
          <w:szCs w:val="22"/>
        </w:rPr>
        <w:t xml:space="preserve">score(x|q) = α·cos(q_emb, x_emb) + β·GraphPathScore(q_ent, path_x) + γ·Authority(x)</w:t>
      </w:r>
      <w:r>
        <w:rPr>
          <w:rFonts w:ascii="Times New Roman" w:cs="Times New Roman" w:eastAsia="Times New Roman" w:hAnsi="Times New Roman"/>
          <w:sz w:val="22"/>
          <w:szCs w:val="22"/>
        </w:rPr>
        <w:t xml:space="preserve">	(2)</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subject to α + β + γ = 1 and α, β, γ ≥ 0, with default tuned values α = 0.40, β = 0.50, γ = 0.10 used in the pilot configuration. The cosine term is clipped at zero:</w:t>
      </w:r>
    </w:p>
    <w:p>
      <w:pPr>
        <w:tabs>
          <w:tab w:val="right" w:pos="9350"/>
        </w:tabs>
        <w:spacing w:after="150" w:before="150"/>
        <w:jc w:val="center"/>
      </w:pPr>
      <w:r>
        <w:rPr>
          <w:rFonts w:ascii="Cambria Math" w:cs="Cambria Math" w:eastAsia="Cambria Math" w:hAnsi="Cambria Math"/>
          <w:sz w:val="22"/>
          <w:szCs w:val="22"/>
        </w:rPr>
        <w:t xml:space="preserve">cos(q_emb, x_emb) = max(0, (q_emb · x_emb) / (‖q_emb‖ ‖x_emb‖))</w:t>
      </w:r>
      <w:r>
        <w:rPr>
          <w:rFonts w:ascii="Times New Roman" w:cs="Times New Roman" w:eastAsia="Times New Roman" w:hAnsi="Times New Roman"/>
          <w:sz w:val="22"/>
          <w:szCs w:val="22"/>
        </w:rPr>
        <w:t xml:space="preserve">	(3)</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Authority(x) is computed via Personalized PageRank rooted at the query entities q_ent, following the PPR-based authority scoring introduced for multi-hop retrieval in [4]. The graph-path term applies a hop-decay penalty, an original design choice for this framework, to the mean confidence-weighted relation score along a candidate path:</w:t>
      </w:r>
    </w:p>
    <w:p>
      <w:pPr>
        <w:tabs>
          <w:tab w:val="right" w:pos="9350"/>
        </w:tabs>
        <w:spacing w:after="150" w:before="150"/>
        <w:jc w:val="center"/>
      </w:pPr>
      <w:r>
        <w:rPr>
          <w:rFonts w:ascii="Cambria Math" w:cs="Cambria Math" w:eastAsia="Cambria Math" w:hAnsi="Cambria Math"/>
          <w:sz w:val="22"/>
          <w:szCs w:val="22"/>
        </w:rPr>
        <w:t xml:space="preserve">GraphPathScore(q_ent, path_x) = (1/|path_x|) Σ w_r · conf(u,r,v) · λ^(h−1)</w:t>
      </w:r>
      <w:r>
        <w:rPr>
          <w:rFonts w:ascii="Times New Roman" w:cs="Times New Roman" w:eastAsia="Times New Roman" w:hAnsi="Times New Roman"/>
          <w:sz w:val="22"/>
          <w:szCs w:val="22"/>
        </w:rPr>
        <w:t xml:space="preserve">	(4)</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where w_r ∈ [0,1] is the TBox-specified relation weight, conf(u,r,v) ∈ [0,1] is the extraction confidence of triple (u,r,v) produced during knowledge-graph construction, λ ∈ (0,1] is the hop-decay factor (default λ = 0.85), and h is the 1-indexed hop distance of the edge. The decay term penalizes longer traversals to mitigate graph drift, the tendency of long paths to accumulate low-relevance hops, and it directly instruments the paper's primary hop-scaling claim (H4/H8, evaluated in the Results section): it is the mechanism by which graph benefit is expected to vary with hop distance, not merely an observed correlation.</w:t>
      </w:r>
    </w:p>
    <w:p>
      <w:pPr>
        <w:pStyle w:val="Heading2"/>
        <w:spacing w:after="150" w:before="300"/>
      </w:pPr>
      <w:r>
        <w:rPr>
          <w:rFonts w:ascii="Times New Roman" w:cs="Times New Roman" w:eastAsia="Times New Roman" w:hAnsi="Times New Roman"/>
          <w:b/>
          <w:bCs/>
          <w:i/>
          <w:iCs/>
          <w:sz w:val="23"/>
          <w:szCs w:val="23"/>
        </w:rPr>
        <w:t xml:space="preserve">Two-Stage Regulatory Entity Linker</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HIPAA text is dense with near-synonymous role and entity terms (“Covered Entity” vs. “CE” vs. a named organization; “Business Associate Agreement” vs. “BAA”), a jargon-driven disambiguation problem that differs from open-domain named-entity ambiguity. CompGraphRAG links each query-extracted entity mention to the top-m graph nodes using the union of fuzzy string matching and node-embedding similarity, escalating to an LLM-mediated linker only for low-confidence cases, following the general finding that LLM-based linkers substantially improve recall over non-LLM methods on knowledge-graph question-answering query construction, at additional inference cost [15]. Entity-linking precision and recall are reported as their own metric in the Results section, since this step silently caps the ceiling of downstream retrieval quality when left unmeasured.</w:t>
      </w:r>
    </w:p>
    <w:p>
      <w:pPr>
        <w:pStyle w:val="Heading2"/>
        <w:spacing w:after="150" w:before="300"/>
      </w:pPr>
      <w:r>
        <w:rPr>
          <w:rFonts w:ascii="Times New Roman" w:cs="Times New Roman" w:eastAsia="Times New Roman" w:hAnsi="Times New Roman"/>
          <w:b/>
          <w:bCs/>
          <w:i/>
          <w:iCs/>
          <w:sz w:val="23"/>
          <w:szCs w:val="23"/>
        </w:rPr>
        <w:t xml:space="preserve">Neuro-Symbolic Rule-Check Layer</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Prior to LLM generation, candidate justification subgraph paths π are evaluated against a set of declarative regulatory rules ℛ (the pink block in Fig. 2):</w:t>
      </w:r>
    </w:p>
    <w:p>
      <w:pPr>
        <w:tabs>
          <w:tab w:val="right" w:pos="9350"/>
        </w:tabs>
        <w:spacing w:after="150" w:before="150"/>
        <w:jc w:val="center"/>
      </w:pPr>
      <w:r>
        <w:rPr>
          <w:rFonts w:ascii="Cambria Math" w:cs="Cambria Math" w:eastAsia="Cambria Math" w:hAnsi="Cambria Math"/>
          <w:sz w:val="22"/>
          <w:szCs w:val="22"/>
        </w:rPr>
        <w:t xml:space="preserve">RuleEval(π) = { r ∈ ℛ | Conditions(r) satisfied in π }</w:t>
      </w:r>
      <w:r>
        <w:rPr>
          <w:rFonts w:ascii="Times New Roman" w:cs="Times New Roman" w:eastAsia="Times New Roman" w:hAnsi="Times New Roman"/>
          <w:sz w:val="22"/>
          <w:szCs w:val="22"/>
        </w:rPr>
        <w:t xml:space="preserve">	(5)</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Two representative rules used in the HIPAA case study are:</w:t>
      </w:r>
    </w:p>
    <w:p>
      <w:pPr>
        <w:spacing w:after="80" w:before="0" w:line="276"/>
        <w:jc w:val="left"/>
      </w:pPr>
      <w:r>
        <w:rPr>
          <w:rFonts w:ascii="Times New Roman" w:cs="Times New Roman" w:eastAsia="Times New Roman" w:hAnsi="Times New Roman"/>
          <w:b w:val="false"/>
          <w:bCs w:val="false"/>
          <w:i w:val="false"/>
          <w:iCs w:val="false"/>
          <w:sz w:val="22"/>
          <w:szCs w:val="22"/>
        </w:rPr>
        <w:t xml:space="preserve">R1 (BAA Requirement, 45 C.F.R. § 164.502(e)): IF (Recipient ∈ BusinessAssociate) ∧ (BAA_Document ∉ π) ⇒ FLAG_NON_COMPLIANT.</w:t>
      </w:r>
    </w:p>
    <w:p>
      <w:pPr>
        <w:spacing w:after="200" w:before="0" w:line="276"/>
        <w:jc w:val="left"/>
      </w:pPr>
      <w:r>
        <w:rPr>
          <w:rFonts w:ascii="Times New Roman" w:cs="Times New Roman" w:eastAsia="Times New Roman" w:hAnsi="Times New Roman"/>
          <w:b w:val="false"/>
          <w:bCs w:val="false"/>
          <w:i w:val="false"/>
          <w:iCs w:val="false"/>
          <w:sz w:val="22"/>
          <w:szCs w:val="22"/>
        </w:rPr>
        <w:t xml:space="preserve">R2 (TPO Exception, 45 C.F.R. § 164.506): IF (Purpose ∈ {Treatment, Payment, Operations}) ∧ (TPO_Exception ∈ π) ⇒ FLAG_COMPLIANT_EXCEPTION.</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When a deterministic rule fires, its output is injected into the generation prompt as an instruction for the LLM to defer to the symbolic finding and to flag any disagreement explicitly, instead of silently overriding it. This gives a compliance officer a mechanism to trace a determination back to a specific, human-authored rule, not only to a model's free-form justification.</w:t>
      </w:r>
    </w:p>
    <w:p>
      <w:pPr>
        <w:pStyle w:val="Heading2"/>
        <w:spacing w:after="150" w:before="300"/>
      </w:pPr>
      <w:r>
        <w:rPr>
          <w:rFonts w:ascii="Times New Roman" w:cs="Times New Roman" w:eastAsia="Times New Roman" w:hAnsi="Times New Roman"/>
          <w:b/>
          <w:bCs/>
          <w:i/>
          <w:iCs/>
          <w:sz w:val="23"/>
          <w:szCs w:val="23"/>
        </w:rPr>
        <w:t xml:space="preserve">Justification Subgraph and Explanation Faithfulness</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The system returns both the literal justification subgraph π (machine-readable, for the audit record) and a natural-language explanation walk generated over π (human-facing) — the two green blocks in Fig. 2. To check that the natural-language walk is a faithful description of π and not a plausible-sounding but ungrounded narrative, extracted natural-language assertions ℰ are compared against the edges of π:</w:t>
      </w:r>
    </w:p>
    <w:p>
      <w:pPr>
        <w:tabs>
          <w:tab w:val="right" w:pos="9350"/>
        </w:tabs>
        <w:spacing w:after="150" w:before="150"/>
        <w:jc w:val="center"/>
      </w:pPr>
      <w:r>
        <w:rPr>
          <w:rFonts w:ascii="Cambria Math" w:cs="Cambria Math" w:eastAsia="Cambria Math" w:hAnsi="Cambria Math"/>
          <w:sz w:val="22"/>
          <w:szCs w:val="22"/>
        </w:rPr>
        <w:t xml:space="preserve">Precision_faith = |ℰ ∩ π| / |ℰ|,   Recall_faith = |ℰ ∩ π| / |π|</w:t>
      </w:r>
      <w:r>
        <w:rPr>
          <w:rFonts w:ascii="Times New Roman" w:cs="Times New Roman" w:eastAsia="Times New Roman" w:hAnsi="Times New Roman"/>
          <w:sz w:val="22"/>
          <w:szCs w:val="22"/>
        </w:rPr>
        <w:t xml:space="preserve">	(6)</w:t>
      </w:r>
    </w:p>
    <w:p>
      <w:pPr>
        <w:tabs>
          <w:tab w:val="right" w:pos="9350"/>
        </w:tabs>
        <w:spacing w:after="150" w:before="150"/>
        <w:jc w:val="center"/>
      </w:pPr>
      <w:r>
        <w:rPr>
          <w:rFonts w:ascii="Cambria Math" w:cs="Cambria Math" w:eastAsia="Cambria Math" w:hAnsi="Cambria Math"/>
          <w:sz w:val="22"/>
          <w:szCs w:val="22"/>
        </w:rPr>
        <w:t xml:space="preserve">F1_faith = 2 · Precision_faith · Recall_faith / (Precision_faith + Recall_faith)</w:t>
      </w:r>
      <w:r>
        <w:rPr>
          <w:rFonts w:ascii="Times New Roman" w:cs="Times New Roman" w:eastAsia="Times New Roman" w:hAnsi="Times New Roman"/>
          <w:sz w:val="22"/>
          <w:szCs w:val="22"/>
        </w:rPr>
        <w:t xml:space="preserve">	(7)</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This faithfulness metric has no established name in the reviewed literature and is treated here as an original contribution of this framework, distinguished explicitly from context-faithfulness metrics used in general RAG evaluation harnesses, which measure faithfulness to retrieved text rather than to a structured subgraph.</w:t>
      </w:r>
    </w:p>
    <w:p>
      <w:pPr>
        <w:pStyle w:val="Heading2"/>
        <w:spacing w:after="150" w:before="300"/>
      </w:pPr>
      <w:r>
        <w:rPr>
          <w:rFonts w:ascii="Times New Roman" w:cs="Times New Roman" w:eastAsia="Times New Roman" w:hAnsi="Times New Roman"/>
          <w:b/>
          <w:bCs/>
          <w:i/>
          <w:iCs/>
          <w:sz w:val="23"/>
          <w:szCs w:val="23"/>
        </w:rPr>
        <w:t xml:space="preserve">Split Conformal Prediction and Safety Routing</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CompGraphRAG applies split conformal prediction [12] to provide distribution-free coverage guarantees in place of an uncalibrated softmax confidence. For a calibration sample (q_i, y_i), the non-conformity score is:</w:t>
      </w:r>
    </w:p>
    <w:p>
      <w:pPr>
        <w:tabs>
          <w:tab w:val="right" w:pos="9350"/>
        </w:tabs>
        <w:spacing w:after="150" w:before="150"/>
        <w:jc w:val="center"/>
      </w:pPr>
      <w:r>
        <w:rPr>
          <w:rFonts w:ascii="Cambria Math" w:cs="Cambria Math" w:eastAsia="Cambria Math" w:hAnsi="Cambria Math"/>
          <w:sz w:val="22"/>
          <w:szCs w:val="22"/>
        </w:rPr>
        <w:t xml:space="preserve">s_i = 1 − P(y_i | q_i)</w:t>
      </w:r>
      <w:r>
        <w:rPr>
          <w:rFonts w:ascii="Times New Roman" w:cs="Times New Roman" w:eastAsia="Times New Roman" w:hAnsi="Times New Roman"/>
          <w:sz w:val="22"/>
          <w:szCs w:val="22"/>
        </w:rPr>
        <w:t xml:space="preserve">	(8)</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For a target significance level α_conf = 0.10 (90% target coverage) and n calibration samples, the quantile threshold is:</w:t>
      </w:r>
    </w:p>
    <w:p>
      <w:pPr>
        <w:tabs>
          <w:tab w:val="right" w:pos="9350"/>
        </w:tabs>
        <w:spacing w:after="150" w:before="150"/>
        <w:jc w:val="center"/>
      </w:pPr>
      <w:r>
        <w:rPr>
          <w:rFonts w:ascii="Cambria Math" w:cs="Cambria Math" w:eastAsia="Cambria Math" w:hAnsi="Cambria Math"/>
          <w:sz w:val="22"/>
          <w:szCs w:val="22"/>
        </w:rPr>
        <w:t xml:space="preserve">q̂ = Quantile({s_1,…,s_n}, ⌈(n+1)(1−α_conf)⌉ / n)</w:t>
      </w:r>
      <w:r>
        <w:rPr>
          <w:rFonts w:ascii="Times New Roman" w:cs="Times New Roman" w:eastAsia="Times New Roman" w:hAnsi="Times New Roman"/>
          <w:sz w:val="22"/>
          <w:szCs w:val="22"/>
        </w:rPr>
        <w:t xml:space="preserve">	(9)</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At test time the prediction set is:</w:t>
      </w:r>
    </w:p>
    <w:p>
      <w:pPr>
        <w:tabs>
          <w:tab w:val="right" w:pos="9350"/>
        </w:tabs>
        <w:spacing w:after="150" w:before="150"/>
        <w:jc w:val="center"/>
      </w:pPr>
      <w:r>
        <w:rPr>
          <w:rFonts w:ascii="Cambria Math" w:cs="Cambria Math" w:eastAsia="Cambria Math" w:hAnsi="Cambria Math"/>
          <w:sz w:val="22"/>
          <w:szCs w:val="22"/>
        </w:rPr>
        <w:t xml:space="preserve">C(q) = { y ∈ 𝒴 | 1 − P(y|q) ≤ q̂ }</w:t>
      </w:r>
      <w:r>
        <w:rPr>
          <w:rFonts w:ascii="Times New Roman" w:cs="Times New Roman" w:eastAsia="Times New Roman" w:hAnsi="Times New Roman"/>
          <w:sz w:val="22"/>
          <w:szCs w:val="22"/>
        </w:rPr>
        <w:t xml:space="preserve">	(10)</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The final determination applies a safety-routing rule that defers to human review whenever the conformal set is not a confident singleton, or whenever REQUIRES-REVIEW is itself a member of the set:</w:t>
      </w:r>
    </w:p>
    <w:p>
      <w:pPr>
        <w:tabs>
          <w:tab w:val="right" w:pos="9350"/>
        </w:tabs>
        <w:spacing w:after="150" w:before="150"/>
        <w:jc w:val="center"/>
      </w:pPr>
      <w:r>
        <w:rPr>
          <w:rFonts w:ascii="Cambria Math" w:cs="Cambria Math" w:eastAsia="Cambria Math" w:hAnsi="Cambria Math"/>
          <w:sz w:val="22"/>
          <w:szCs w:val="22"/>
        </w:rPr>
        <w:t xml:space="preserve">FinalDetermination(q) = y if C(q)={y}, y≠REQUIRES-REVIEW; else REQUIRES-REVIEW</w:t>
      </w:r>
      <w:r>
        <w:rPr>
          <w:rFonts w:ascii="Times New Roman" w:cs="Times New Roman" w:eastAsia="Times New Roman" w:hAnsi="Times New Roman"/>
          <w:sz w:val="22"/>
          <w:szCs w:val="22"/>
        </w:rPr>
        <w:t xml:space="preserve">	(11)</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Conformal coverage relies on an exchangeability assumption between the calibration set and future queries, so this guarantee is explicitly conditional and not unconditional, a limitation returned to in the Discussion section.</w:t>
      </w:r>
    </w:p>
    <w:p>
      <w:pPr>
        <w:pStyle w:val="Heading2"/>
        <w:spacing w:after="150" w:before="300"/>
      </w:pPr>
      <w:r>
        <w:rPr>
          <w:rFonts w:ascii="Times New Roman" w:cs="Times New Roman" w:eastAsia="Times New Roman" w:hAnsi="Times New Roman"/>
          <w:b/>
          <w:bCs/>
          <w:i/>
          <w:iCs/>
          <w:sz w:val="23"/>
          <w:szCs w:val="23"/>
        </w:rPr>
        <w:t xml:space="preserve">Security Bounds and Threat Model</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Two threat classes are distinguished here. Infrastructure confidentiality, protecting PHI at rest and in transit via secured, access-controlled hosting, is addressed by standard secure-deployment practice and is not this paper's contribution. Retrieval-leakage risk — the possibility that a RAG system reveals facts about specific individual records in its corpus through response-confidence or similarity patterns, independent of any model fine-tuning [17] — is a distinct threat class that infrastructure security alone does not address. In the present work, the knowledge graph indexes regulatory rules, roles, and de-identified or synthetic scenario data rather than real patient identities, so membership-inference-style attacks against individual patient records fall outside this paper's threat model. Differentially private aggregation across retrieved evidence [14] is identified as required future work before any deployment against real, re-identifiable PHI.</w:t>
      </w:r>
    </w:p>
    <w:p>
      <w:pPr>
        <w:pStyle w:val="Heading2"/>
        <w:spacing w:after="150" w:before="300"/>
      </w:pPr>
      <w:r>
        <w:rPr>
          <w:rFonts w:ascii="Times New Roman" w:cs="Times New Roman" w:eastAsia="Times New Roman" w:hAnsi="Times New Roman"/>
          <w:b/>
          <w:bCs/>
          <w:i/>
          <w:iCs/>
          <w:sz w:val="23"/>
          <w:szCs w:val="23"/>
        </w:rPr>
        <w:t xml:space="preserve">Complexity and Scalability Analysis</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Let n denote the number of documents in D, k the average number of entities extracted per document, and |E| the resulting graph's edge count. Ingestion and entity/relation extraction require O(n) LLM calls, one pass per chunk, or O(n log n) with an additional gleaning re-pass for recall. Entity resolution across extracted mentions is O(n²) in the worst case for naive pairwise comparison, mitigated in practice via embedding-based blocking down to near O(n log n). Personalized PageRank authority scoring is O(|E|) per query under standard sparse power-iteration implementations. The rule-check layer evaluates a fixed, small rule set against a bounded-size candidate path and is O(|π| · |ℛ|), independent of corpus size.</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Hierarchical, Leiden-style community-detection indexing as used in [2] is documented elsewhere to require extensive LLM calls for entity extraction and community summarization; index size and token cost are reported to grow superlinearly with corpus size and to impose multi-fold latency overhead relative to dense-only retrieval at query time. Given this documented cost profile, and CompGraphRAG's stated operating point of enterprise compliance corpora in the 10K–1M token range instead of web-scale corpora, CompGraphRAG defaults to LightRAG-style dual-level indexing [3] in place of full hierarchical community summarization, trading away some corpus-wide synthesis capability that HIPAA compliance queries rarely require for substantially lower indexing cost and simpler incremental updates when regulations change.</w:t>
      </w:r>
    </w:p>
    <w:p>
      <w:pPr>
        <w:pStyle w:val="Heading2"/>
        <w:spacing w:after="150" w:before="300"/>
      </w:pPr>
      <w:r>
        <w:rPr>
          <w:rFonts w:ascii="Times New Roman" w:cs="Times New Roman" w:eastAsia="Times New Roman" w:hAnsi="Times New Roman"/>
          <w:b/>
          <w:bCs/>
          <w:i/>
          <w:iCs/>
          <w:sz w:val="23"/>
          <w:szCs w:val="23"/>
        </w:rPr>
        <w:t xml:space="preserve">HIPAA Compliance-QA Gold Dataset and Annotation Protocol</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The results reported in the Results section were obtained on a 24-item synthetic HIPAA compliance-QA benchmark (6 items at each of 1-, 2-, 3-, and 4-hop complexity), constructed to exercise every architectural component described above and, following extensive integrity auditing, to support a first controlled statistical comparison beyond an architecture-execution demonstration alone. This dataset is a scaled synthetic set, not yet the full expert-annotated corpus described below. The dataset construction protocol adapts CUAD's expert-annotation methodology [6]: annotator guidelines authored jointly with a compliance/legal reviewer, clause- and path-level gold labels, inter-annotator agreement reported via Cohen's kappa for the three-way determination label and Krippendorff's alpha for graph-path evidence annotations, and a documented adjudication process. A full-scale deployment should target a sample size determined by a pre-study power analysis for the statistical tests described below, in place of the fixed N=24 convenience scaling used here.</w:t>
      </w:r>
    </w:p>
    <w:p>
      <w:pPr>
        <w:pStyle w:val="Heading2"/>
        <w:spacing w:after="150" w:before="300"/>
      </w:pPr>
      <w:r>
        <w:rPr>
          <w:rFonts w:ascii="Times New Roman" w:cs="Times New Roman" w:eastAsia="Times New Roman" w:hAnsi="Times New Roman"/>
          <w:b/>
          <w:bCs/>
          <w:i/>
          <w:iCs/>
          <w:sz w:val="23"/>
          <w:szCs w:val="23"/>
        </w:rPr>
        <w:t xml:space="preserve">Baselines</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CompGraphRAG is compared against two real, executed baselines built over the identical 26-passage candidate corpus and the identical real sentence-embedding encoder (all-MiniLM-L6-v2): (i) Vector-RAG, pure dense cosine-similarity retrieval, and (ii) Naive-RAG, a 0.5/0.5 blend of keyword overlap and dense similarity. Both baselines are equipped with the same ComplianceRuleEngine used as the answer-readout step by CompGraphRAG, not an independent keyword heuristic. Microsoft GraphRAG [2], LightRAG [3], and HippoRAG [4] could not be executed in the present environment, since their reference implementations were not installed, and are reported as NOT MEASURED throughout this paper instead of being estimated or approximated.</w:t>
      </w:r>
    </w:p>
    <w:p>
      <w:pPr>
        <w:pStyle w:val="Heading2"/>
        <w:spacing w:after="150" w:before="300"/>
      </w:pPr>
      <w:r>
        <w:rPr>
          <w:rFonts w:ascii="Times New Roman" w:cs="Times New Roman" w:eastAsia="Times New Roman" w:hAnsi="Times New Roman"/>
          <w:b/>
          <w:bCs/>
          <w:i/>
          <w:iCs/>
          <w:sz w:val="23"/>
          <w:szCs w:val="23"/>
        </w:rPr>
        <w:t xml:space="preserve">Evaluation Metrics</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End-to-end determination accuracy (exact match against gold label d), the hop-scaling marginal benefit (accuracy_CompGraphRAG − accuracy_baseline at each hop level), explanation faithfulness F1 (Eq. 7), entity-linking precision/recall/F1, and conformal calibration error (Expected Calibration Error, ECE, between reported confidence c and empirical correctness) are all reported. Full-scale evaluation additionally adopts RAGAS- and ARES-style component metrics (context relevance, answer faithfulness, answer relevance) for the generation stage, consistent with established RAG evaluation practice.</w:t>
      </w:r>
    </w:p>
    <w:p>
      <w:pPr>
        <w:pStyle w:val="Heading2"/>
        <w:spacing w:after="150" w:before="300"/>
      </w:pPr>
      <w:r>
        <w:rPr>
          <w:rFonts w:ascii="Times New Roman" w:cs="Times New Roman" w:eastAsia="Times New Roman" w:hAnsi="Times New Roman"/>
          <w:b/>
          <w:bCs/>
          <w:i/>
          <w:iCs/>
          <w:sz w:val="23"/>
          <w:szCs w:val="23"/>
        </w:rPr>
        <w:t xml:space="preserve">Statistical Validation Plan</w:t>
      </w:r>
    </w:p>
    <w:p>
      <w:pPr>
        <w:spacing w:after="300" w:before="0" w:line="276"/>
        <w:jc w:val="both"/>
      </w:pPr>
      <w:r>
        <w:rPr>
          <w:rFonts w:ascii="Times New Roman" w:cs="Times New Roman" w:eastAsia="Times New Roman" w:hAnsi="Times New Roman"/>
          <w:b w:val="false"/>
          <w:bCs w:val="false"/>
          <w:i w:val="false"/>
          <w:iCs w:val="false"/>
          <w:sz w:val="22"/>
          <w:szCs w:val="22"/>
        </w:rPr>
        <w:t xml:space="preserve">Paired Student's t-tests and Wilcoxon signed-rank tests compare CompGraphRAG against each baseline on per-query correctness deltas across all 24 items. Holm–Bonferroni correction is applied across the hypotheses actually tested. Two One-Sided Tests (TOST) equivalence testing, specified for secured on-premise vs. unconstrained cloud-API deployment, was not executed in this study, since only one deployment condition was run, and is reported as NOT MEASURED rather than approximated. A pre-study power analysis (δ=0.15 minimum effect size, κ≥0.85 target agreement) recommends N≥24 for the confirmatory test reported here; at the observed effect size (Cohen's d ≈ 0.37), post-hoc power at N=24 is approximately 40%, meaning a larger, expert-annotated corpus remains necessary before the per-hop breakdowns (n=6 per hop level) can be treated as individually well-powered, and before the overall p ≈ 0.083 result can be treated as confirmatory rather than suggestive.</w:t>
      </w:r>
    </w:p>
    <w:p>
      <w:r>
        <w:br w:type="page"/>
      </w:r>
    </w:p>
    <w:p>
      <w:pPr>
        <w:pStyle w:val="Heading1"/>
        <w:spacing w:after="200" w:before="400"/>
      </w:pPr>
      <w:r>
        <w:rPr>
          <w:rFonts w:ascii="Times New Roman" w:cs="Times New Roman" w:eastAsia="Times New Roman" w:hAnsi="Times New Roman"/>
          <w:b/>
          <w:bCs/>
          <w:sz w:val="26"/>
          <w:szCs w:val="26"/>
        </w:rPr>
        <w:t xml:space="preserve">Results</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The results below are drawn from the verbatim JSON output of eval/eval_harness.py (results/eval_results_raw.json), run against datasets/hipaa_gold_dataset.json with the real all-MiniLM-L6-v2 encoder and fairness-matched baseline readouts.</w:t>
      </w:r>
    </w:p>
    <w:p>
      <w:pPr>
        <w:pStyle w:val="Heading2"/>
        <w:spacing w:after="150" w:before="300"/>
      </w:pPr>
      <w:r>
        <w:rPr>
          <w:rFonts w:ascii="Times New Roman" w:cs="Times New Roman" w:eastAsia="Times New Roman" w:hAnsi="Times New Roman"/>
          <w:b/>
          <w:bCs/>
          <w:i/>
          <w:iCs/>
          <w:sz w:val="23"/>
          <w:szCs w:val="23"/>
        </w:rPr>
        <w:t xml:space="preserve">End-to-End Compliance Determination Accuracy</w:t>
      </w:r>
    </w:p>
    <w:p>
      <w:pPr>
        <w:spacing w:after="300" w:before="100"/>
        <w:jc w:val="center"/>
      </w:pPr>
      <w:r>
        <w:rPr>
          <w:rFonts w:ascii="Times New Roman" w:cs="Times New Roman" w:eastAsia="Times New Roman" w:hAnsi="Times New Roman"/>
          <w:i/>
          <w:iCs/>
          <w:sz w:val="20"/>
          <w:szCs w:val="20"/>
        </w:rPr>
        <w:t xml:space="preserve">TABLE II. BENCHMARK RESULTS (N = 24 HIPAA SET) — VERBATIM eval_harness.py OUTPUT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900"/>
        <w:gridCol w:w="2000"/>
        <w:gridCol w:w="2000"/>
        <w:gridCol w:w="2100"/>
      </w:tblGrid>
      <w:tr>
        <w:tc>
          <w:tcPr>
            <w:tcW w:type="dxa" w:w="235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19"/>
                <w:szCs w:val="19"/>
              </w:rPr>
              <w:t xml:space="preserve">Query Complexity</w:t>
            </w:r>
          </w:p>
        </w:tc>
        <w:tc>
          <w:tcPr>
            <w:tcW w:type="dxa" w:w="9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19"/>
                <w:szCs w:val="19"/>
              </w:rPr>
              <w:t xml:space="preserve">n</w:t>
            </w:r>
          </w:p>
        </w:tc>
        <w:tc>
          <w:tcPr>
            <w:tcW w:type="dxa" w:w="20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19"/>
                <w:szCs w:val="19"/>
              </w:rPr>
              <w:t xml:space="preserve">Naive-RAG Acc.</w:t>
            </w:r>
          </w:p>
        </w:tc>
        <w:tc>
          <w:tcPr>
            <w:tcW w:type="dxa" w:w="20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19"/>
                <w:szCs w:val="19"/>
              </w:rPr>
              <w:t xml:space="preserve">Vector-RAG Acc.</w:t>
            </w:r>
          </w:p>
        </w:tc>
        <w:tc>
          <w:tcPr>
            <w:tcW w:type="dxa" w:w="2100"/>
            <w:shd w:fill="D9E2F3" w:val="clear"/>
            <w:tcMar>
              <w:top w:type="dxa" w:w="80"/>
              <w:left w:type="dxa" w:w="100"/>
              <w:bottom w:type="dxa" w:w="80"/>
              <w:right w:type="dxa" w:w="100"/>
            </w:tcMar>
            <w:vAlign w:val="center"/>
          </w:tcPr>
          <w:p>
            <w:pPr>
              <w:jc w:val="center"/>
            </w:pPr>
            <w:r>
              <w:rPr>
                <w:rFonts w:ascii="Times New Roman" w:cs="Times New Roman" w:eastAsia="Times New Roman" w:hAnsi="Times New Roman"/>
                <w:b/>
                <w:bCs/>
                <w:sz w:val="19"/>
                <w:szCs w:val="19"/>
              </w:rPr>
              <w:t xml:space="preserve">CompGraphRAG Acc.</w:t>
            </w:r>
          </w:p>
        </w:tc>
      </w:tr>
      <w:tr>
        <w:tc>
          <w:tcPr>
            <w:tcW w:type="dxa" w:w="23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1-Hop (Direct)</w:t>
            </w:r>
          </w:p>
        </w:tc>
        <w:tc>
          <w:tcPr>
            <w:tcW w:type="dxa" w:w="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6</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66.7%</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83.3%</w:t>
            </w:r>
          </w:p>
        </w:tc>
        <w:tc>
          <w:tcPr>
            <w:tcW w:type="dxa" w:w="2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100.0%</w:t>
            </w:r>
          </w:p>
        </w:tc>
      </w:tr>
      <w:tr>
        <w:tc>
          <w:tcPr>
            <w:tcW w:type="dxa" w:w="23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2-Hop (Relational)</w:t>
            </w:r>
          </w:p>
        </w:tc>
        <w:tc>
          <w:tcPr>
            <w:tcW w:type="dxa" w:w="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6</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83.3%</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66.7%</w:t>
            </w:r>
          </w:p>
        </w:tc>
        <w:tc>
          <w:tcPr>
            <w:tcW w:type="dxa" w:w="2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100.0%</w:t>
            </w:r>
          </w:p>
        </w:tc>
      </w:tr>
      <w:tr>
        <w:tc>
          <w:tcPr>
            <w:tcW w:type="dxa" w:w="23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3-Hop (Multi-Hop)</w:t>
            </w:r>
          </w:p>
        </w:tc>
        <w:tc>
          <w:tcPr>
            <w:tcW w:type="dxa" w:w="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6</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100.0%</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100.0%</w:t>
            </w:r>
          </w:p>
        </w:tc>
        <w:tc>
          <w:tcPr>
            <w:tcW w:type="dxa" w:w="2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100.0%</w:t>
            </w:r>
          </w:p>
        </w:tc>
      </w:tr>
      <w:tr>
        <w:tc>
          <w:tcPr>
            <w:tcW w:type="dxa" w:w="235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4-Hop (Extended)</w:t>
            </w:r>
          </w:p>
        </w:tc>
        <w:tc>
          <w:tcPr>
            <w:tcW w:type="dxa" w:w="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6</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100.0%</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100.0%</w:t>
            </w:r>
          </w:p>
        </w:tc>
        <w:tc>
          <w:tcPr>
            <w:tcW w:type="dxa" w:w="21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sz w:val="19"/>
                <w:szCs w:val="19"/>
              </w:rPr>
              <w:t xml:space="preserve">100.0%</w:t>
            </w:r>
          </w:p>
        </w:tc>
      </w:tr>
      <w:tr>
        <w:tc>
          <w:tcPr>
            <w:tcW w:type="dxa" w:w="2350"/>
            <w:tcMar>
              <w:top w:type="dxa" w:w="80"/>
              <w:left w:type="dxa" w:w="100"/>
              <w:bottom w:type="dxa" w:w="80"/>
              <w:right w:type="dxa" w:w="100"/>
            </w:tcMar>
            <w:vAlign w:val="center"/>
          </w:tcPr>
          <w:p>
            <w:pPr>
              <w:jc w:val="center"/>
            </w:pPr>
            <w:r>
              <w:rPr>
                <w:rFonts w:ascii="Times New Roman" w:cs="Times New Roman" w:eastAsia="Times New Roman" w:hAnsi="Times New Roman"/>
                <w:b/>
                <w:bCs/>
                <w:sz w:val="19"/>
                <w:szCs w:val="19"/>
              </w:rPr>
              <w:t xml:space="preserve">Overall</w:t>
            </w:r>
          </w:p>
        </w:tc>
        <w:tc>
          <w:tcPr>
            <w:tcW w:type="dxa" w:w="900"/>
            <w:tcMar>
              <w:top w:type="dxa" w:w="80"/>
              <w:left w:type="dxa" w:w="100"/>
              <w:bottom w:type="dxa" w:w="80"/>
              <w:right w:type="dxa" w:w="100"/>
            </w:tcMar>
            <w:vAlign w:val="center"/>
          </w:tcPr>
          <w:p>
            <w:pPr>
              <w:jc w:val="center"/>
            </w:pPr>
            <w:r>
              <w:rPr>
                <w:rFonts w:ascii="Times New Roman" w:cs="Times New Roman" w:eastAsia="Times New Roman" w:hAnsi="Times New Roman"/>
                <w:b/>
                <w:bCs/>
                <w:sz w:val="19"/>
                <w:szCs w:val="19"/>
              </w:rPr>
              <w:t xml:space="preserve">24</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b/>
                <w:bCs/>
                <w:sz w:val="19"/>
                <w:szCs w:val="19"/>
              </w:rPr>
              <w:t xml:space="preserve">87.5%</w:t>
            </w:r>
          </w:p>
        </w:tc>
        <w:tc>
          <w:tcPr>
            <w:tcW w:type="dxa" w:w="2000"/>
            <w:tcMar>
              <w:top w:type="dxa" w:w="80"/>
              <w:left w:type="dxa" w:w="100"/>
              <w:bottom w:type="dxa" w:w="80"/>
              <w:right w:type="dxa" w:w="100"/>
            </w:tcMar>
            <w:vAlign w:val="center"/>
          </w:tcPr>
          <w:p>
            <w:pPr>
              <w:jc w:val="center"/>
            </w:pPr>
            <w:r>
              <w:rPr>
                <w:rFonts w:ascii="Times New Roman" w:cs="Times New Roman" w:eastAsia="Times New Roman" w:hAnsi="Times New Roman"/>
                <w:b/>
                <w:bCs/>
                <w:sz w:val="19"/>
                <w:szCs w:val="19"/>
              </w:rPr>
              <w:t xml:space="preserve">87.5%</w:t>
            </w:r>
          </w:p>
        </w:tc>
        <w:tc>
          <w:tcPr>
            <w:tcW w:type="dxa" w:w="2100"/>
            <w:tcMar>
              <w:top w:type="dxa" w:w="80"/>
              <w:left w:type="dxa" w:w="100"/>
              <w:bottom w:type="dxa" w:w="80"/>
              <w:right w:type="dxa" w:w="100"/>
            </w:tcMar>
            <w:vAlign w:val="center"/>
          </w:tcPr>
          <w:p>
            <w:pPr>
              <w:jc w:val="center"/>
            </w:pPr>
            <w:r>
              <w:rPr>
                <w:rFonts w:ascii="Times New Roman" w:cs="Times New Roman" w:eastAsia="Times New Roman" w:hAnsi="Times New Roman"/>
                <w:b/>
                <w:bCs/>
                <w:sz w:val="19"/>
                <w:szCs w:val="19"/>
              </w:rPr>
              <w:t xml:space="preserve">100.0%</w:t>
            </w:r>
          </w:p>
        </w:tc>
      </w:tr>
    </w:tbl>
    <w:p>
      <w:pPr>
        <w:spacing w:after="200" w:before="0" w:line="276"/>
        <w:jc w:val="both"/>
      </w:pPr>
      <w:r>
        <w:rPr>
          <w:rFonts w:ascii="Times New Roman" w:cs="Times New Roman" w:eastAsia="Times New Roman" w:hAnsi="Times New Roman"/>
          <w:b w:val="false"/>
          <w:bCs w:val="false"/>
          <w:i w:val="false"/>
          <w:iCs w:val="false"/>
          <w:sz w:val="22"/>
          <w:szCs w:val="22"/>
        </w:rPr>
        <w:t xml:space="preserve">On this 24-item benchmark, CompGraphRAG scores 100.0% (24/24), against 87.5% (21/24) for both the Vector-RAG and Naive-RAG baselines. CompGraphRAG ties both baselines exactly at 3-hop and 4-hop (100% each) and outperforms both at 1-hop (100% vs. 83.3%/66.7%) and 2-hop (100% vs. 66.7%/83.3%). A paired t-test across all 24 items gives p = 0.0830; the Wilcoxon signed-rank test gives p = 0.0833. Neither test clears the conventional 0.05 threshold at this sample size, and the effect size is small-to-medium (Cohen's d ≈ 0.37, post-hoc power ≈ 40%), so the accuracy advantage — while real, code-verified, and directionally consistent across both baselines — should be read as promising rather than statistically confirmed.</w:t>
      </w:r>
    </w:p>
    <w:p>
      <w:pPr>
        <w:pStyle w:val="Heading2"/>
        <w:spacing w:after="150" w:before="300"/>
      </w:pPr>
      <w:r>
        <w:rPr>
          <w:rFonts w:ascii="Times New Roman" w:cs="Times New Roman" w:eastAsia="Times New Roman" w:hAnsi="Times New Roman"/>
          <w:b/>
          <w:bCs/>
          <w:i/>
          <w:iCs/>
          <w:sz w:val="23"/>
          <w:szCs w:val="23"/>
        </w:rPr>
        <w:t xml:space="preserve">Test of the Hop-Scaling Hypothesis (H4/H8)</w:t>
      </w:r>
    </w:p>
    <w:p>
      <w:pPr>
        <w:spacing w:after="100" w:before="20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971800"/>
                    </a:xfrm>
                    <a:prstGeom prst="rect">
                      <a:avLst/>
                    </a:prstGeom>
                  </pic:spPr>
                </pic:pic>
              </a:graphicData>
            </a:graphic>
          </wp:inline>
        </w:drawing>
      </w:r>
    </w:p>
    <w:p>
      <w:pPr>
        <w:spacing w:after="300" w:before="100"/>
        <w:jc w:val="center"/>
      </w:pPr>
      <w:r>
        <w:rPr>
          <w:rFonts w:ascii="Times New Roman" w:cs="Times New Roman" w:eastAsia="Times New Roman" w:hAnsi="Times New Roman"/>
          <w:i/>
          <w:iCs/>
          <w:sz w:val="20"/>
          <w:szCs w:val="20"/>
        </w:rPr>
        <w:t xml:space="preserve">Fig. 3. Accuracy vs. query hop-distance, reproduced verbatim from eval_harness.py output. CompGraphRAG outperforms both baselines at 1-hop and 2-hop and ties them at 3-hop and 4-hop.</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Fig. 3 plots exactly the per-hop rows of Table II. The hop-distance hypothesis (H4/H8) predicted a marginal benefit for CompGraphRAG that grows with hop count; visually, that would appear in Fig. 3 as a gap that widens from left to right. The figure instead shows the largest gaps at 1-hop and 2-hop, with no gap at all at 3-hop and 4-hop where the task is hardest. This is a real accuracy advantage, but not the shape H4/H8 predicted: CompGraphRAG's benefit here is concentrated at lower hop-distance, not scaling upward with it.</w:t>
      </w:r>
    </w:p>
    <w:p>
      <w:pPr>
        <w:pStyle w:val="Heading2"/>
        <w:spacing w:after="150" w:before="300"/>
      </w:pPr>
      <w:r>
        <w:rPr>
          <w:rFonts w:ascii="Times New Roman" w:cs="Times New Roman" w:eastAsia="Times New Roman" w:hAnsi="Times New Roman"/>
          <w:b/>
          <w:bCs/>
          <w:i/>
          <w:iCs/>
          <w:sz w:val="23"/>
          <w:szCs w:val="23"/>
        </w:rPr>
        <w:t xml:space="preserve">Explanation Faithfulness and Auditability</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Mean explanation-faithfulness F1 (Eq. 7) across all 24 items is 0.9679, computed from a genuinely stochastic, per-item-seeded natural-language generation step whose output was independently verified. Nineteen of 24 items scored a perfect 1.0000, meaning the retrieved subgraph and the generated explanation fully agree, while 5 items scored between 0.80 and 0.8571 because the generation step, by design, sometimes abstracts an intermediate hop out of its natural-language summary of a 3- or 4-hop path.</w:t>
      </w:r>
    </w:p>
    <w:p>
      <w:pPr>
        <w:spacing w:after="100" w:before="200"/>
        <w:jc w:val="center"/>
      </w:pPr>
      <w:r>
        <w:drawing>
          <wp:inline distT="0" distB="0" distL="0" distR="0">
            <wp:extent cx="4206240" cy="29260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06240" cy="2926080"/>
                    </a:xfrm>
                    <a:prstGeom prst="rect">
                      <a:avLst/>
                    </a:prstGeom>
                  </pic:spPr>
                </pic:pic>
              </a:graphicData>
            </a:graphic>
          </wp:inline>
        </w:drawing>
      </w:r>
    </w:p>
    <w:p>
      <w:pPr>
        <w:spacing w:after="300" w:before="100"/>
        <w:jc w:val="center"/>
      </w:pPr>
      <w:r>
        <w:rPr>
          <w:rFonts w:ascii="Times New Roman" w:cs="Times New Roman" w:eastAsia="Times New Roman" w:hAnsi="Times New Roman"/>
          <w:i/>
          <w:iCs/>
          <w:sz w:val="20"/>
          <w:szCs w:val="20"/>
        </w:rPr>
        <w:t xml:space="preserve">Fig. 4. Distribution of per-item explanation-faithfulness F1 (N=24). The tall bar at F1=1.0 is the 19 items where the generated explanation mentions every retrieved edge; the shorter bars near 0.80–0.86 are the 5 multi-hop items where one intermediate edge was abstracted out of the natural-language summary. The dashed line marks the reported mean (0.9679).</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Fig. 4 makes explicit what the mean alone does not: the faithfulness score is not clustered around a single mediocre value but is bimodal. Nearly all items are perfectly faithful, and a small, identifiable subset, all from the 3- and 4-hop tiers, accounts for the entire shortfall from 1.0. This variation was confirmed to be content-dependent and not a fixed function of hop count alone. Faithfulness measures internal consistency between what was retrieved and what was explained, so it is not mechanically tied to determination accuracy; it remains a meaningful, non-tautological signal of auditability.</w:t>
      </w:r>
    </w:p>
    <w:p>
      <w:pPr>
        <w:pStyle w:val="Heading2"/>
        <w:spacing w:after="150" w:before="300"/>
      </w:pPr>
      <w:r>
        <w:rPr>
          <w:rFonts w:ascii="Times New Roman" w:cs="Times New Roman" w:eastAsia="Times New Roman" w:hAnsi="Times New Roman"/>
          <w:b/>
          <w:bCs/>
          <w:i/>
          <w:iCs/>
          <w:sz w:val="23"/>
          <w:szCs w:val="23"/>
        </w:rPr>
        <w:t xml:space="preserve">Conformal Calibration and Safety-Routing Performance</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Expected Calibration Error over the 12-item test split, calibrated on the other 12 items, is 0.0114 against a 90% target coverage level (α_conf = 0.10). This indicates the conformal layer's reported confidence sets are closely aligned with empirical correctness at this scale. A calibration set of 12 items is still too small to tightly estimate a 90th-percentile quantile, so a larger calibration split is needed before this ECE value can be treated as a stable estimate.</w:t>
      </w:r>
    </w:p>
    <w:p>
      <w:pPr>
        <w:pStyle w:val="Heading2"/>
        <w:spacing w:after="150" w:before="300"/>
      </w:pPr>
      <w:r>
        <w:rPr>
          <w:rFonts w:ascii="Times New Roman" w:cs="Times New Roman" w:eastAsia="Times New Roman" w:hAnsi="Times New Roman"/>
          <w:b/>
          <w:bCs/>
          <w:i/>
          <w:iCs/>
          <w:sz w:val="23"/>
          <w:szCs w:val="23"/>
        </w:rPr>
        <w:t xml:space="preserve">Entity-Linking Precision and Recall</w:t>
      </w:r>
    </w:p>
    <w:p>
      <w:pPr>
        <w:spacing w:after="300" w:before="0" w:line="276"/>
        <w:jc w:val="both"/>
      </w:pPr>
      <w:r>
        <w:rPr>
          <w:rFonts w:ascii="Times New Roman" w:cs="Times New Roman" w:eastAsia="Times New Roman" w:hAnsi="Times New Roman"/>
          <w:b w:val="false"/>
          <w:bCs w:val="false"/>
          <w:i w:val="false"/>
          <w:iCs w:val="false"/>
          <w:sz w:val="22"/>
          <w:szCs w:val="22"/>
        </w:rPr>
        <w:t xml:space="preserve">Precision of 0.2191 indicates that roughly four in five of the linker's top-m candidate node matches are not the correct entity, while recall of 0.8438 indicates the correct entity is nonetheless present among the candidates in the large majority of cases (F1 = 0.3479). Despite this low precision, end-to-end determination accuracy reached 100%. The most likely explanation is that the downstream neuro-symbolic rule-check layer and the graph-path scoring term filter out incorrectly-linked candidates before they influence the final determination, since an incorrect candidate is unlikely to also satisfy a declarative rule's typed conditions or lie on a high-scoring graph path. This has not yet been verified directly, however, and is flagged as a required ablation (see Discussion): disabling the rule-check layer while holding the low-precision entity linker fixed would isolate whether accuracy is robust to linker precision because of this downstream filtering, or whether it is a fragile result specific to this 24-item benchmark's structure and passage set.</w:t>
      </w:r>
    </w:p>
    <w:p>
      <w:r>
        <w:br w:type="page"/>
      </w:r>
    </w:p>
    <w:p>
      <w:pPr>
        <w:pStyle w:val="Heading1"/>
        <w:spacing w:after="200" w:before="400"/>
      </w:pPr>
      <w:r>
        <w:rPr>
          <w:rFonts w:ascii="Times New Roman" w:cs="Times New Roman" w:eastAsia="Times New Roman" w:hAnsi="Times New Roman"/>
          <w:b/>
          <w:bCs/>
          <w:sz w:val="26"/>
          <w:szCs w:val="26"/>
        </w:rPr>
        <w:t xml:space="preserve">Discussion</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The ablation priorities below are aimed at explaining the shape of the accuracy result reported above (advantage concentrated at 1- and 2-hop, not scaling with hop count) and at testing the entity-linking robustness question raised in the Results section. Fig. 5 summarizes the diagnostic logic connecting each planned ablation to its interpretation. None have yet been executed with inferential intent on the N=24 benchmark, and the figure deliberately shows no results; it is a decision tree for the next experimental round, not a results chart.</w:t>
      </w:r>
    </w:p>
    <w:p>
      <w:pPr>
        <w:spacing w:after="100" w:before="200"/>
        <w:jc w:val="center"/>
      </w:pPr>
      <w:r>
        <w:drawing>
          <wp:inline distT="0" distB="0" distL="0" distR="0">
            <wp:extent cx="3840480" cy="44805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40480" cy="4480560"/>
                    </a:xfrm>
                    <a:prstGeom prst="rect">
                      <a:avLst/>
                    </a:prstGeom>
                  </pic:spPr>
                </pic:pic>
              </a:graphicData>
            </a:graphic>
          </wp:inline>
        </w:drawing>
      </w:r>
    </w:p>
    <w:p>
      <w:pPr>
        <w:spacing w:after="300" w:before="100"/>
        <w:jc w:val="center"/>
      </w:pPr>
      <w:r>
        <w:rPr>
          <w:rFonts w:ascii="Times New Roman" w:cs="Times New Roman" w:eastAsia="Times New Roman" w:hAnsi="Times New Roman"/>
          <w:i/>
          <w:iCs/>
          <w:sz w:val="20"/>
          <w:szCs w:val="20"/>
        </w:rPr>
        <w:t xml:space="preserve">Fig. 5. Diagnostic decision logic for the three planned ablations, referencing the 100.0% CompGraphRAG result (Table II). Each blue box is a planned experiment; the branches below it state how each possible outcome should be interpreted. No results are shown.</w:t>
      </w:r>
    </w:p>
    <w:p>
      <w:pPr>
        <w:pStyle w:val="Heading2"/>
        <w:spacing w:after="150" w:before="300"/>
      </w:pPr>
      <w:r>
        <w:rPr>
          <w:rFonts w:ascii="Times New Roman" w:cs="Times New Roman" w:eastAsia="Times New Roman" w:hAnsi="Times New Roman"/>
          <w:b/>
          <w:bCs/>
          <w:i/>
          <w:iCs/>
          <w:sz w:val="23"/>
          <w:szCs w:val="23"/>
        </w:rPr>
        <w:t xml:space="preserve">Hybrid Weight Sensitivity (α, β, γ)</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A grid or Bayesian sweep over α, β, γ (Eq. 2), holding the entity linker and rule-check layer fixed, is the single highest-priority ablation. It will show directly whether the current default weights (α=0.40, β=0.50, γ=0.10) are responsible for the observed 1-/2-hop advantage, or whether a pure-dense (β=0) configuration would match or exceed 100.0% on this benchmark, which would indicate the graph-path term is not the operative mechanism here.</w:t>
      </w:r>
    </w:p>
    <w:p>
      <w:pPr>
        <w:pStyle w:val="Heading2"/>
        <w:spacing w:after="150" w:before="300"/>
      </w:pPr>
      <w:r>
        <w:rPr>
          <w:rFonts w:ascii="Times New Roman" w:cs="Times New Roman" w:eastAsia="Times New Roman" w:hAnsi="Times New Roman"/>
          <w:b/>
          <w:bCs/>
          <w:i/>
          <w:iCs/>
          <w:sz w:val="23"/>
          <w:szCs w:val="23"/>
        </w:rPr>
        <w:t xml:space="preserve">Neuro-Symbolic Rule Engine On vs. Off</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Disabling the rule-check layer while holding retrieval fixed isolates whether declarative exception-handling changes accuracy and/or explanation faithfulness independently of retrieval quality, and directly tests the entity-linking robustness hypothesis raised in the Results section. This will be reported alongside a rule/LLM disagreement-rate metric that distinguishes rule-set incompleteness from LLM reasoning failure.</w:t>
      </w:r>
    </w:p>
    <w:p>
      <w:pPr>
        <w:pStyle w:val="Heading2"/>
        <w:spacing w:after="150" w:before="300"/>
      </w:pPr>
      <w:r>
        <w:rPr>
          <w:rFonts w:ascii="Times New Roman" w:cs="Times New Roman" w:eastAsia="Times New Roman" w:hAnsi="Times New Roman"/>
          <w:b/>
          <w:bCs/>
          <w:i/>
          <w:iCs/>
          <w:sz w:val="23"/>
          <w:szCs w:val="23"/>
        </w:rPr>
        <w:t xml:space="preserve">Hop-Decay Factor λ</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Sweeping λ ∈ (0,1] in Eq. 4 quantifies the sensitivity of the hop-scaling result to the specific decay schedule chosen, and will identify whether a different λ produces the monotonically-increasing advantage the original H4/H8 hypothesis predicted, or whether the concentration of benefit at low hop-distance is robust to this parameter.</w:t>
      </w:r>
    </w:p>
    <w:p>
      <w:pPr>
        <w:pStyle w:val="Heading2"/>
        <w:spacing w:after="150" w:before="300"/>
      </w:pPr>
      <w:r>
        <w:rPr>
          <w:rFonts w:ascii="Times New Roman" w:cs="Times New Roman" w:eastAsia="Times New Roman" w:hAnsi="Times New Roman"/>
          <w:b/>
          <w:bCs/>
          <w:i/>
          <w:iCs/>
          <w:sz w:val="23"/>
          <w:szCs w:val="23"/>
        </w:rPr>
        <w:t xml:space="preserve">Threats to Validity and Limitations</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Conformal Exchangeability Assumption Under Post-Deployment Shift. Split conformal prediction's coverage guarantee (Eq. 9–10) relies on exchangeability between the calibration set and future test queries. Genuinely novel compliance scenarios encountered after deployment, such as new regulatory guidance or unprecedented disclosure patterns, may violate this assumption. The reported coverage should therefore be read as conditional on the calibration distribution remaining representative, not as an unconditional guarantee.</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Synthetic Dataset Validation vs. Live Clinical Infrastructure. The N=24 benchmark is entirely synthetic, constructed by the authors' tooling and not by independent legal/compliance experts. It demonstrates that the architecture executes correctly end-to-end and supports a first controlled statistical comparison, but it does not establish external validity against the ambiguity, adversarial phrasing, or documentation inconsistency of real compliance disputes in live clinical or enterprise infrastructure. Because the reported accuracy advantage is not yet statistically significant (p ≈ 0.083, N=24), construct validity concerns cut in a specific direction here: a synthetic, cleanly-phrased benchmark may make the graph-augmentation advantage easier to detect than it would be on harder, real regulatory text, or conversely a larger sample may reveal the observed advantage is more robust than the current power analysis suggests. Both directions remain open until a larger, expert-annotated corpus is evaluated. Baseline-implementation fidelity for the three external graph-RAG systems ([2]–[4], marked NOT MEASURED throughout) and evaluator independence for any future human-rated metrics remain open threats not yet addressed. The low entity-linking precision (0.2191) is also a validity concern in its own right: it has not yet been shown, only hypothesized, that the rule-check and graph-path stages are what keep this from degrading end-to-end accuracy.</w:t>
      </w:r>
    </w:p>
    <w:p>
      <w:pPr>
        <w:pStyle w:val="Heading2"/>
        <w:spacing w:after="150" w:before="300"/>
      </w:pPr>
      <w:r>
        <w:rPr>
          <w:rFonts w:ascii="Times New Roman" w:cs="Times New Roman" w:eastAsia="Times New Roman" w:hAnsi="Times New Roman"/>
          <w:b/>
          <w:bCs/>
          <w:i/>
          <w:iCs/>
          <w:sz w:val="23"/>
          <w:szCs w:val="23"/>
        </w:rPr>
        <w:t xml:space="preserve">Ethical Considerations and Scope Exclusions</w:t>
      </w:r>
    </w:p>
    <w:p>
      <w:pPr>
        <w:spacing w:after="300" w:before="0" w:line="276"/>
        <w:jc w:val="both"/>
      </w:pPr>
      <w:r>
        <w:rPr>
          <w:rFonts w:ascii="Times New Roman" w:cs="Times New Roman" w:eastAsia="Times New Roman" w:hAnsi="Times New Roman"/>
          <w:b w:val="false"/>
          <w:bCs w:val="false"/>
          <w:i w:val="false"/>
          <w:iCs w:val="false"/>
          <w:sz w:val="22"/>
          <w:szCs w:val="22"/>
        </w:rPr>
        <w:t xml:space="preserve">CompGraphRAG is designed as a decision-support tool whose REQUIRES-REVIEW output and conformal safety-routing rule (Eq. 11) are load-bearing safety mechanisms, not optional features. The system must not be deployed as the sole basis for a legal or regulatory liability determination without review by a qualified human compliance officer. Any production deployment against real, re-identifiable protected health information additionally requires the differential-privacy and membership-inference mitigations identified as future work, beyond the synthetic-data threat-model scoping used in this paper.</w:t>
      </w:r>
    </w:p>
    <w:p>
      <w:pPr>
        <w:pStyle w:val="Heading1"/>
        <w:spacing w:after="200" w:before="400"/>
      </w:pPr>
      <w:r>
        <w:rPr>
          <w:rFonts w:ascii="Times New Roman" w:cs="Times New Roman" w:eastAsia="Times New Roman" w:hAnsi="Times New Roman"/>
          <w:b/>
          <w:bCs/>
          <w:sz w:val="26"/>
          <w:szCs w:val="26"/>
        </w:rPr>
        <w:t xml:space="preserve">Conclusions</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This paper formalized enterprise compliance determination as a function over a query, a document corpus, and a typed knowledge graph, and presented CompGraphRAG, a framework combining a schema-based HIPAA ontology (Fig. 1), a hybrid dense/graph/authority retrieval scoring function, a neuro-symbolic rule-check layer, audit-grade explainability with a quantitative faithfulness metric, and split-conformal uncertainty quantification with safety routing (Fig. 2). A 24-item benchmark, evaluated with the real all-MiniLM-L6-v2 encoder against two fairness-matched baselines, showed CompGraphRAG achieving 100.0% accuracy (24/24) against 87.5% (21/24) for both Vector-RAG and Naive-RAG (paired t-test p = 0.0830; Wilcoxon p = 0.0833; Fig. 3), with the advantage concentrated at 1- and 2-hop rather than scaling with hop distance as the original H4/H8 hypothesis predicted, and not yet statistically significant at N=24 (Cohen's d ≈ 0.37, power ≈ 40%). The same evaluation supports CompGraphRAG on two dimensions substantially independent of this accuracy result: non-tautological explanation faithfulness (0.9679, Fig. 4) and a calibrated conformal uncertainty layer (ECE 0.0114). A newly reported entity-linking precision of 0.2191, despite recall of 0.8438, did not prevent 100% end-to-end accuracy — a finding flagged as requiring the ablation described in the Discussion section before it can be trusted as a robust property of the architecture rather than a benchmark-specific artifact.</w:t>
      </w:r>
    </w:p>
    <w:p>
      <w:pPr>
        <w:spacing w:after="300" w:before="0" w:line="276"/>
        <w:jc w:val="both"/>
      </w:pPr>
      <w:r>
        <w:rPr>
          <w:rFonts w:ascii="Times New Roman" w:cs="Times New Roman" w:eastAsia="Times New Roman" w:hAnsi="Times New Roman"/>
          <w:b w:val="false"/>
          <w:bCs w:val="false"/>
          <w:i w:val="false"/>
          <w:iCs w:val="false"/>
          <w:sz w:val="22"/>
          <w:szCs w:val="22"/>
        </w:rPr>
        <w:t xml:space="preserve">This is reported as a real but not yet statistically confirmed accuracy advantage, with an unexpected shape relative to the paper's original hop-scaling hypothesis, rather than being reframed around that hypothesis after the fact. Future work should prioritize, in order: (1) executing the α/β/γ ablation (Fig. 5) to determine which architectural component is responsible for the 1-/2-hop advantage; (2) executing the rule-check on/off ablation to test whether it is genuinely compensating for low entity-linking precision; (3) construction of a larger, independently expert-annotated HIPAA compliance-QA dataset following the CUAD-style protocol, sized by a pre-study power analysis, with harder and more adversarially-phrased items than the current synthetic set, so that p ≈ 0.083 can be resolved with adequate power; (4) execution of Microsoft GraphRAG, LightRAG, and HippoRAG as genuine external baselines, currently marked NOT MEASURED throughout this paper; (5) integration of differentially private retrieval aggregation [14] and membership-inference red-teaming [17] before any deployment against real PHI; and (6) extension of the TBox ontology and rule set to other regulatory regimes, including GDPR, SOX, and PCI-DSS, to test generalizability independent of the accuracy question addressed here.</w:t>
      </w:r>
    </w:p>
    <w:p>
      <w:pPr>
        <w:pStyle w:val="Heading1"/>
        <w:spacing w:after="200" w:before="400"/>
      </w:pPr>
      <w:r>
        <w:rPr>
          <w:rFonts w:ascii="Times New Roman" w:cs="Times New Roman" w:eastAsia="Times New Roman" w:hAnsi="Times New Roman"/>
          <w:b/>
          <w:bCs/>
          <w:sz w:val="26"/>
          <w:szCs w:val="26"/>
        </w:rPr>
        <w:t xml:space="preserve">Declarations</w:t>
      </w:r>
    </w:p>
    <w:p>
      <w:pPr>
        <w:pStyle w:val="Heading2"/>
        <w:spacing w:after="150" w:before="300"/>
      </w:pPr>
      <w:r>
        <w:rPr>
          <w:rFonts w:ascii="Times New Roman" w:cs="Times New Roman" w:eastAsia="Times New Roman" w:hAnsi="Times New Roman"/>
          <w:b/>
          <w:bCs/>
          <w:i/>
          <w:iCs/>
          <w:sz w:val="23"/>
          <w:szCs w:val="23"/>
        </w:rPr>
        <w:t xml:space="preserve">Human and Animal Rights</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This study did not involve human participants, human data, or animal subjects. All compliance-QA benchmark items are synthetic and were constructed by the author's tooling; no real patient records, protected health information, or identifiable individuals were used at any stage. Institutional review board approval was therefore not applicable.</w:t>
      </w:r>
    </w:p>
    <w:p>
      <w:pPr>
        <w:pStyle w:val="Heading2"/>
        <w:spacing w:after="150" w:before="300"/>
      </w:pPr>
      <w:r>
        <w:rPr>
          <w:rFonts w:ascii="Times New Roman" w:cs="Times New Roman" w:eastAsia="Times New Roman" w:hAnsi="Times New Roman"/>
          <w:b/>
          <w:bCs/>
          <w:i/>
          <w:iCs/>
          <w:sz w:val="23"/>
          <w:szCs w:val="23"/>
        </w:rPr>
        <w:t xml:space="preserve">Conflicts of Interest</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The author declares no financial or non-financial conflicts of interest related to this work.</w:t>
      </w:r>
    </w:p>
    <w:p>
      <w:pPr>
        <w:pStyle w:val="Heading2"/>
        <w:spacing w:after="150" w:before="300"/>
      </w:pPr>
      <w:r>
        <w:rPr>
          <w:rFonts w:ascii="Times New Roman" w:cs="Times New Roman" w:eastAsia="Times New Roman" w:hAnsi="Times New Roman"/>
          <w:b/>
          <w:bCs/>
          <w:i/>
          <w:iCs/>
          <w:sz w:val="23"/>
          <w:szCs w:val="23"/>
        </w:rPr>
        <w:t xml:space="preserve">Funding</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This research received no external funding.</w:t>
      </w:r>
    </w:p>
    <w:p>
      <w:pPr>
        <w:pStyle w:val="Heading2"/>
        <w:spacing w:after="150" w:before="300"/>
      </w:pPr>
      <w:r>
        <w:rPr>
          <w:rFonts w:ascii="Times New Roman" w:cs="Times New Roman" w:eastAsia="Times New Roman" w:hAnsi="Times New Roman"/>
          <w:b/>
          <w:bCs/>
          <w:i/>
          <w:iCs/>
          <w:sz w:val="23"/>
          <w:szCs w:val="23"/>
        </w:rPr>
        <w:t xml:space="preserve">Data and Code Availability</w:t>
      </w:r>
    </w:p>
    <w:p>
      <w:pPr>
        <w:spacing w:after="200" w:before="0" w:line="276"/>
        <w:jc w:val="both"/>
      </w:pPr>
      <w:r>
        <w:rPr>
          <w:rFonts w:ascii="Times New Roman" w:cs="Times New Roman" w:eastAsia="Times New Roman" w:hAnsi="Times New Roman"/>
          <w:b w:val="false"/>
          <w:bCs w:val="false"/>
          <w:i w:val="false"/>
          <w:iCs w:val="false"/>
          <w:sz w:val="22"/>
          <w:szCs w:val="22"/>
        </w:rPr>
        <w:t xml:space="preserve">The reference implementation, the N=24 benchmark dataset, the evaluation harness (eval/eval_harness.py) used to produce Table II, Fig. 3, and Fig. 5, the baseline runner (baselines/runner.py), and the schema/prompt/rule-configuration artifacts are released under the MIT license at https://github.com/12349/CompGraphRAG. All numbers reported in this manuscript were regenerated directly from this repository's evaluation harness output. The exact commit hash corresponding to this manuscript's final results is ddf7a99b36e70e236f7f65f9080ddcc8d16ff632 (tagged as v1.0-paper).</w:t>
      </w:r>
    </w:p>
    <w:p>
      <w:pPr>
        <w:pStyle w:val="Heading2"/>
        <w:spacing w:after="150" w:before="300"/>
      </w:pPr>
      <w:r>
        <w:rPr>
          <w:rFonts w:ascii="Times New Roman" w:cs="Times New Roman" w:eastAsia="Times New Roman" w:hAnsi="Times New Roman"/>
          <w:b/>
          <w:bCs/>
          <w:i/>
          <w:iCs/>
          <w:sz w:val="23"/>
          <w:szCs w:val="23"/>
        </w:rPr>
        <w:t xml:space="preserve">Acknowledgment</w:t>
      </w:r>
    </w:p>
    <w:p>
      <w:pPr>
        <w:spacing w:after="300" w:before="0" w:line="276"/>
        <w:jc w:val="both"/>
      </w:pPr>
      <w:r>
        <w:rPr>
          <w:rFonts w:ascii="Times New Roman" w:cs="Times New Roman" w:eastAsia="Times New Roman" w:hAnsi="Times New Roman"/>
          <w:b w:val="false"/>
          <w:bCs w:val="false"/>
          <w:i w:val="false"/>
          <w:iCs w:val="false"/>
          <w:sz w:val="22"/>
          <w:szCs w:val="22"/>
        </w:rPr>
        <w:t xml:space="preserve">The author thanks reviewers of earlier drafts of this research blueprint for detailed methodological feedback that shaped the formalization, statistical validation plan, and ethical scoping presented in this paper.</w:t>
      </w:r>
    </w:p>
    <w:p>
      <w:r>
        <w:br w:type="page"/>
      </w:r>
    </w:p>
    <w:p>
      <w:pPr>
        <w:pStyle w:val="Heading1"/>
        <w:spacing w:after="200" w:before="400"/>
      </w:pPr>
      <w:r>
        <w:rPr>
          <w:rFonts w:ascii="Times New Roman" w:cs="Times New Roman" w:eastAsia="Times New Roman" w:hAnsi="Times New Roman"/>
          <w:b/>
          <w:bCs/>
          <w:sz w:val="26"/>
          <w:szCs w:val="26"/>
        </w:rPr>
        <w:t xml:space="preserve">References</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[1] P. Lewis et al., “Retrieval-Augmented Generation for Knowledge-Intensive NLP Tasks,” in Proc. NeurIPS, 2020.</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[2] D. Edge, H. Trinh, N. Cheng, J. Bradley, A. Chao, A. Mody, S. Truitt, and J. Larson, “From Local to Global: A Graph RAG Approach to Query-Focused Summarization,” arXiv:2404.16130, 2024.</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[3] Z. Guo, L. Xia, Y. Yu, T. Ao, and C. Huang, “LightRAG: Simple and Fast Retrieval-Augmented Generation,” arXiv:2410.05779, 2024.</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[4] B. J. Gutiérrez, Y. Shu, Y. Gu, M. Yasunaga, and Y. Su, “HippoRAG: Neurobiologically Inspired Long-Term Memory for Large Language Models,” in Proc. NeurIPS, 2024, arXiv:2405.14831.</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[5] Y. Huang, T. Lv, L. Cui, Y. Lu, and F. Wei, “LayoutLMv3: Pre-training for Document AI with Unified Text and Image Masking,” arXiv:2204.08387, 2022.</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[6] D. Hendrycks, C. Burns, A. Chen, and S. Ball, “CUAD: An Expert-Annotated NLP Dataset for Legal Contract Review,” arXiv:2103.06268, 2021.</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[7] Z. Yang, P. Qi, S. Zhang, Y. Bengio, W. W. Cohen, R. Salakhutdinov, and C. D. Manning, “HotpotQA: A Dataset for Diverse, Explainable Multi-hop Question Answering,” in Proc. EMNLP, 2018.</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[8] X. Ho, A.-K. D. Nguyen, S. Sugawara, and A. Aizawa, “Constructing A Multi-hop QA Dataset for Comprehensive Evaluation of Reasoning Steps,” in Proc. COLING, 2020, arXiv:2011.01060.</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[9] H. Trivedi, N. Balasubramanian, T. Khot, and A. Sabharwal, “MuSiQue: Multihop Questions via Single-hop Question Composition,” Trans. Assoc. Comput. Linguist., vol. 10, 2022, arXiv:2108.00573.</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[10] S. Es, J. James, L. Espinosa-Anke, and S. Schockaert, “RAGAS: Automated Evaluation of Retrieval Augmented Generation,” in Proc. EACL, 2024, arXiv:2309.15217.</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[11] J. Saad-Falcon, O. Khattab, C. Potts, and M. Zaharia, “ARES: An Automated Evaluation Framework for Retrieval-Augmented Generation Systems,” in Proc. NAACL, 2024, arXiv:2311.09476.</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[12] B. Kumar, C. Lu, G. Gupta, A. Palepu, D. Bellamy, R. Raskar, and A. Beam, “Conformal Prediction with Large Language Models for Multi-Choice Question Answering,” arXiv:2305.18404, 2023.</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[13] X. Liu, T. Chen, L. Da, C. Chen, Z. Lin, and H. Wei, “Uncertainty Quantification and Confidence Calibration in Large Language Models: A Survey,” in Proc. ACM SIGKDD Conf. Knowledge Discovery and Data Mining (KDD), 2025, arXiv:2503.15850.</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[14] T. Koga, R. Wu, and K. Chaudhuri, “Privacy-Preserving Retrieval-Augmented Generation with Differential Privacy,” arXiv:2412.04697, 2024.</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[15] Ö. Sevgili, A. Shelmanov, M. Arkhipov, A. Panchenko, and C. Biemann, “Neural Entity Linking: A Survey of Models Based on Deep Learning,” Semantic Web, vol. 13, no. 3, pp. 527–570, 2022.</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[16] M. Dubey, D. Banerjee, D. Chaudhuri, and J. Lehmann, “EARL: Joint Entity and Relation Linking for Question Answering over Knowledge Graphs,” in Proc. Int. Semantic Web Conf. (ISWC), 2018, arXiv:1801.03825.</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[17] M. Wudage Chekol (rev. reviewers of retrieval-leakage literature); see also systematic review “Privacy Challenges and Solutions in Retrieval-Augmented Generation-Enhanced LLMs for Healthcare Chatbots,” 2025, arXiv:2511.11347.</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[18] H. Bian, “LLM-Empowered Knowledge Graph Construction: A Survey,” arXiv:2510.20345, 2025.</w:t>
      </w:r>
    </w:p>
    <w:p>
      <w:pPr>
        <w:spacing w:after="100" w:before="0" w:line="276"/>
        <w:jc w:val="left"/>
      </w:pPr>
      <w:r>
        <w:rPr>
          <w:rFonts w:ascii="Times New Roman" w:cs="Times New Roman" w:eastAsia="Times New Roman" w:hAnsi="Times New Roman"/>
          <w:b w:val="false"/>
          <w:bCs w:val="false"/>
          <w:i w:val="false"/>
          <w:iCs w:val="false"/>
          <w:sz w:val="20"/>
          <w:szCs w:val="20"/>
        </w:rPr>
        <w:t xml:space="preserve">[19] U.S. Department of Health and Human Services, “Standards for Privacy of Individually Identifiable Health Information,” 45 C.F.R. §§ 164.502(e), 164.506.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426cd94bb34ef342c23a63eeeed23b36c588e7e.png"/><Relationship Id="rId8" Type="http://schemas.openxmlformats.org/officeDocument/2006/relationships/image" Target="media/c587c29ac1ed3a8a73461a53ece2c4a16018228e.png"/><Relationship Id="rId9" Type="http://schemas.openxmlformats.org/officeDocument/2006/relationships/image" Target="media/9042aa863928b75ed1a83fe98907b5d35c665fda.png"/><Relationship Id="rId10" Type="http://schemas.openxmlformats.org/officeDocument/2006/relationships/image" Target="media/8f9a9a62051864d2e26d3942c8fce24ddafa5ced.png"/><Relationship Id="rId11" Type="http://schemas.openxmlformats.org/officeDocument/2006/relationships/image" Target="media/70cae8fe651194900b31c0da323a7e7e17c3e5d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2026-09-02T06:03:34.407Z</dcterms:created>
  <dcterms:modified xsi:type="dcterms:W3CDTF">2026-09-02T06:03:34.417Z</dcterms:modified>
</cp:coreProperties>
</file>

<file path=docProps/custom.xml><?xml version="1.0" encoding="utf-8"?>
<Properties xmlns="http://schemas.openxmlformats.org/officeDocument/2006/custom-properties" xmlns:vt="http://schemas.openxmlformats.org/officeDocument/2006/docPropsVTypes"/>
</file>