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FBC6" w14:textId="065D8D8D" w:rsidR="004E078C" w:rsidRDefault="004E078C" w:rsidP="00BC1FFB">
      <w:pPr>
        <w:rPr>
          <w:rFonts w:ascii="Times" w:hAnsi="Times"/>
          <w:b/>
          <w:bCs/>
          <w:sz w:val="22"/>
          <w:szCs w:val="22"/>
        </w:rPr>
      </w:pPr>
      <w:r>
        <w:rPr>
          <w:rFonts w:ascii="Times" w:hAnsi="Times"/>
          <w:b/>
          <w:bCs/>
          <w:sz w:val="22"/>
          <w:szCs w:val="22"/>
        </w:rPr>
        <w:t xml:space="preserve">Victoria Rossi </w:t>
      </w:r>
    </w:p>
    <w:p w14:paraId="4E0C151E" w14:textId="19C1CC5E" w:rsidR="004E078C" w:rsidRDefault="004E078C" w:rsidP="00BC1FFB">
      <w:pPr>
        <w:rPr>
          <w:rFonts w:ascii="Times" w:hAnsi="Times"/>
          <w:b/>
          <w:bCs/>
          <w:sz w:val="22"/>
          <w:szCs w:val="22"/>
        </w:rPr>
      </w:pPr>
      <w:r>
        <w:rPr>
          <w:rFonts w:ascii="Times" w:hAnsi="Times"/>
          <w:b/>
          <w:bCs/>
          <w:sz w:val="22"/>
          <w:szCs w:val="22"/>
        </w:rPr>
        <w:t>THA3</w:t>
      </w:r>
    </w:p>
    <w:p w14:paraId="60B0B70B" w14:textId="77777777" w:rsidR="004E078C" w:rsidRDefault="004E078C" w:rsidP="00BC1FFB">
      <w:pPr>
        <w:rPr>
          <w:rFonts w:ascii="Times" w:hAnsi="Times"/>
          <w:b/>
          <w:bCs/>
          <w:sz w:val="22"/>
          <w:szCs w:val="22"/>
        </w:rPr>
      </w:pPr>
    </w:p>
    <w:p w14:paraId="01A14FDB" w14:textId="77777777" w:rsidR="004E078C" w:rsidRDefault="004E078C" w:rsidP="00BC1FFB">
      <w:pPr>
        <w:rPr>
          <w:rFonts w:ascii="Times" w:hAnsi="Times"/>
          <w:b/>
          <w:bCs/>
          <w:sz w:val="22"/>
          <w:szCs w:val="22"/>
        </w:rPr>
      </w:pPr>
    </w:p>
    <w:p w14:paraId="2C7BBE26" w14:textId="766AFE0E" w:rsidR="00BC1FFB" w:rsidRPr="004E078C" w:rsidRDefault="00BC1FFB" w:rsidP="00BC1FFB">
      <w:pPr>
        <w:rPr>
          <w:rFonts w:ascii="Times" w:hAnsi="Times"/>
          <w:b/>
          <w:bCs/>
          <w:sz w:val="22"/>
          <w:szCs w:val="22"/>
        </w:rPr>
      </w:pPr>
      <w:r w:rsidRPr="004E078C">
        <w:rPr>
          <w:rFonts w:ascii="Times" w:hAnsi="Times"/>
          <w:b/>
          <w:bCs/>
          <w:sz w:val="22"/>
          <w:szCs w:val="22"/>
        </w:rPr>
        <w:t>Research question:</w:t>
      </w:r>
    </w:p>
    <w:p w14:paraId="3D3EC12F" w14:textId="77777777" w:rsidR="004E078C" w:rsidRDefault="004E078C" w:rsidP="00BC1FFB">
      <w:pPr>
        <w:rPr>
          <w:rFonts w:ascii="Times" w:hAnsi="Times"/>
          <w:sz w:val="22"/>
          <w:szCs w:val="22"/>
        </w:rPr>
      </w:pPr>
    </w:p>
    <w:p w14:paraId="443E9D2B" w14:textId="422F4B00" w:rsidR="00BC1FFB" w:rsidRDefault="004E078C" w:rsidP="00BC1FFB">
      <w:pPr>
        <w:rPr>
          <w:rFonts w:ascii="Times" w:hAnsi="Times"/>
          <w:sz w:val="22"/>
          <w:szCs w:val="22"/>
        </w:rPr>
      </w:pPr>
      <w:r>
        <w:rPr>
          <w:rFonts w:ascii="Times" w:hAnsi="Times"/>
          <w:sz w:val="22"/>
          <w:szCs w:val="22"/>
        </w:rPr>
        <w:t xml:space="preserve">What is the relationship between the number of family units and unaccompanied children apprehended crossing between Ports of Entry in the Laredo Field Office, and the number of family units and unaccompanied minors presenting themselves at Ports of Entry in the Laredo Field Office? </w:t>
      </w:r>
    </w:p>
    <w:p w14:paraId="37494E49" w14:textId="77777777" w:rsidR="00BC1FFB" w:rsidRDefault="00BC1FFB" w:rsidP="00BC1FFB">
      <w:pPr>
        <w:rPr>
          <w:rFonts w:ascii="Times" w:hAnsi="Times"/>
          <w:sz w:val="22"/>
          <w:szCs w:val="22"/>
        </w:rPr>
      </w:pPr>
    </w:p>
    <w:p w14:paraId="3163F7AD" w14:textId="77777777" w:rsidR="00BC1FFB" w:rsidRDefault="00BC1FFB" w:rsidP="00BC1FFB">
      <w:pPr>
        <w:rPr>
          <w:rFonts w:ascii="Times" w:hAnsi="Times"/>
          <w:sz w:val="22"/>
          <w:szCs w:val="22"/>
        </w:rPr>
      </w:pPr>
    </w:p>
    <w:p w14:paraId="79ABD231" w14:textId="124D0FCD" w:rsidR="00BC1FFB" w:rsidRPr="004E078C" w:rsidRDefault="00BC1FFB" w:rsidP="00BC1FFB">
      <w:pPr>
        <w:rPr>
          <w:rFonts w:ascii="Times" w:hAnsi="Times"/>
          <w:b/>
          <w:bCs/>
          <w:sz w:val="22"/>
          <w:szCs w:val="22"/>
        </w:rPr>
      </w:pPr>
      <w:r w:rsidRPr="004E078C">
        <w:rPr>
          <w:rFonts w:ascii="Times" w:hAnsi="Times"/>
          <w:b/>
          <w:bCs/>
          <w:sz w:val="22"/>
          <w:szCs w:val="22"/>
        </w:rPr>
        <w:t>Source</w:t>
      </w:r>
      <w:r w:rsidRPr="004E078C">
        <w:rPr>
          <w:rFonts w:ascii="Times" w:hAnsi="Times"/>
          <w:b/>
          <w:bCs/>
          <w:sz w:val="22"/>
          <w:szCs w:val="22"/>
        </w:rPr>
        <w:t>s</w:t>
      </w:r>
      <w:r w:rsidRPr="004E078C">
        <w:rPr>
          <w:rFonts w:ascii="Times" w:hAnsi="Times"/>
          <w:b/>
          <w:bCs/>
          <w:sz w:val="22"/>
          <w:szCs w:val="22"/>
        </w:rPr>
        <w:t xml:space="preserve">: </w:t>
      </w:r>
    </w:p>
    <w:p w14:paraId="03A9F230" w14:textId="77777777" w:rsidR="00BC1FFB" w:rsidRPr="00BC1FFB" w:rsidRDefault="00BC1FFB" w:rsidP="00BC1FFB">
      <w:pPr>
        <w:rPr>
          <w:rFonts w:ascii="Times" w:hAnsi="Times"/>
          <w:sz w:val="22"/>
          <w:szCs w:val="22"/>
        </w:rPr>
      </w:pPr>
    </w:p>
    <w:p w14:paraId="2445FCB3" w14:textId="0785AEFA" w:rsidR="00BC1FFB" w:rsidRPr="00BC1FFB" w:rsidRDefault="00BC1FFB" w:rsidP="00BC1FFB">
      <w:pPr>
        <w:pStyle w:val="ListParagraph"/>
        <w:numPr>
          <w:ilvl w:val="0"/>
          <w:numId w:val="1"/>
        </w:numPr>
        <w:rPr>
          <w:rFonts w:ascii="Times" w:eastAsia="Times New Roman" w:hAnsi="Times" w:cs="Times New Roman"/>
          <w:b/>
          <w:bCs/>
          <w:color w:val="333333"/>
          <w:sz w:val="22"/>
          <w:szCs w:val="22"/>
          <w:bdr w:val="none" w:sz="0" w:space="0" w:color="auto" w:frame="1"/>
        </w:rPr>
      </w:pPr>
      <w:r w:rsidRPr="00BC1FFB">
        <w:rPr>
          <w:rFonts w:ascii="Times" w:eastAsia="Times New Roman" w:hAnsi="Times" w:cs="Times New Roman"/>
          <w:b/>
          <w:bCs/>
          <w:color w:val="333333"/>
          <w:sz w:val="22"/>
          <w:szCs w:val="22"/>
          <w:bdr w:val="none" w:sz="0" w:space="0" w:color="auto" w:frame="1"/>
        </w:rPr>
        <w:t xml:space="preserve">Variable: In Between POE </w:t>
      </w:r>
    </w:p>
    <w:p w14:paraId="7929A842" w14:textId="25445E05" w:rsidR="00BC1FFB" w:rsidRPr="00BC1FFB" w:rsidRDefault="00BC1FFB" w:rsidP="00BC1FFB">
      <w:pPr>
        <w:pStyle w:val="ListParagraph"/>
        <w:rPr>
          <w:rFonts w:ascii="Times" w:eastAsia="Times New Roman" w:hAnsi="Times" w:cs="Times New Roman"/>
          <w:color w:val="333333"/>
          <w:sz w:val="22"/>
          <w:szCs w:val="22"/>
          <w:bdr w:val="none" w:sz="0" w:space="0" w:color="auto" w:frame="1"/>
        </w:rPr>
      </w:pPr>
      <w:r w:rsidRPr="00BC1FFB">
        <w:rPr>
          <w:rFonts w:ascii="Times" w:hAnsi="Times"/>
          <w:sz w:val="22"/>
          <w:szCs w:val="22"/>
        </w:rPr>
        <w:t xml:space="preserve">Statistics for “In Between POE” </w:t>
      </w:r>
      <w:r w:rsidR="00B70B56">
        <w:rPr>
          <w:rFonts w:ascii="Times" w:hAnsi="Times"/>
          <w:sz w:val="22"/>
          <w:szCs w:val="22"/>
        </w:rPr>
        <w:t>variable</w:t>
      </w:r>
      <w:r w:rsidRPr="00BC1FFB">
        <w:rPr>
          <w:rFonts w:ascii="Times" w:hAnsi="Times"/>
          <w:sz w:val="22"/>
          <w:szCs w:val="22"/>
        </w:rPr>
        <w:t xml:space="preserve"> were </w:t>
      </w:r>
      <w:r w:rsidRPr="00BC1FFB">
        <w:rPr>
          <w:rFonts w:ascii="Times" w:hAnsi="Times"/>
          <w:sz w:val="22"/>
          <w:szCs w:val="22"/>
        </w:rPr>
        <w:t xml:space="preserve">compiled from </w:t>
      </w:r>
      <w:r w:rsidR="00B70B56">
        <w:rPr>
          <w:rFonts w:ascii="Times" w:hAnsi="Times"/>
          <w:sz w:val="22"/>
          <w:szCs w:val="22"/>
        </w:rPr>
        <w:t>data sources</w:t>
      </w:r>
      <w:r w:rsidRPr="00BC1FFB">
        <w:rPr>
          <w:rFonts w:ascii="Times" w:hAnsi="Times"/>
          <w:sz w:val="22"/>
          <w:szCs w:val="22"/>
        </w:rPr>
        <w:t xml:space="preserve"> titled “</w:t>
      </w:r>
      <w:r w:rsidRPr="00BC1FFB">
        <w:rPr>
          <w:rFonts w:ascii="Times" w:eastAsia="Times New Roman" w:hAnsi="Times" w:cs="Times New Roman"/>
          <w:color w:val="333333"/>
          <w:sz w:val="22"/>
          <w:szCs w:val="22"/>
          <w:bdr w:val="none" w:sz="0" w:space="0" w:color="auto" w:frame="1"/>
        </w:rPr>
        <w:t xml:space="preserve">United States Border Patrol Southwest Family Unit Subject and Unaccompanied Alien Children Apprehensions Fiscal Year - By Month” for Fiscal Years 2016, 2017, 2018, and 2019. </w:t>
      </w:r>
      <w:r w:rsidRPr="00BC1FFB">
        <w:rPr>
          <w:rFonts w:ascii="Times" w:eastAsia="Times New Roman" w:hAnsi="Times" w:cs="Times New Roman"/>
          <w:color w:val="333333"/>
          <w:sz w:val="22"/>
          <w:szCs w:val="22"/>
          <w:bdr w:val="none" w:sz="0" w:space="0" w:color="auto" w:frame="1"/>
        </w:rPr>
        <w:t xml:space="preserve"> </w:t>
      </w:r>
      <w:r w:rsidR="00B70B56">
        <w:rPr>
          <w:rFonts w:ascii="Times" w:eastAsia="Times New Roman" w:hAnsi="Times" w:cs="Times New Roman"/>
          <w:color w:val="333333"/>
          <w:sz w:val="22"/>
          <w:szCs w:val="22"/>
          <w:bdr w:val="none" w:sz="0" w:space="0" w:color="auto" w:frame="1"/>
        </w:rPr>
        <w:t>This is an example of what the tables look like</w:t>
      </w:r>
      <w:r w:rsidRPr="00BC1FFB">
        <w:rPr>
          <w:rFonts w:ascii="Times" w:eastAsia="Times New Roman" w:hAnsi="Times" w:cs="Times New Roman"/>
          <w:color w:val="333333"/>
          <w:sz w:val="22"/>
          <w:szCs w:val="22"/>
          <w:bdr w:val="none" w:sz="0" w:space="0" w:color="auto" w:frame="1"/>
        </w:rPr>
        <w:t xml:space="preserve">: </w:t>
      </w:r>
    </w:p>
    <w:p w14:paraId="03D10F35" w14:textId="77777777" w:rsidR="00BC1FFB" w:rsidRPr="00BC1FFB" w:rsidRDefault="00BC1FFB" w:rsidP="00BC1FFB">
      <w:pPr>
        <w:rPr>
          <w:rFonts w:ascii="Times" w:eastAsia="Times New Roman" w:hAnsi="Times" w:cs="Times New Roman"/>
          <w:color w:val="333333"/>
          <w:sz w:val="22"/>
          <w:szCs w:val="22"/>
          <w:bdr w:val="none" w:sz="0" w:space="0" w:color="auto" w:frame="1"/>
        </w:rPr>
      </w:pPr>
    </w:p>
    <w:p w14:paraId="6DBB6D85" w14:textId="60174DF2" w:rsidR="00BC1FFB" w:rsidRPr="00BC1FFB" w:rsidRDefault="00BC1FFB" w:rsidP="00BC1FFB">
      <w:pPr>
        <w:rPr>
          <w:rFonts w:ascii="Times" w:eastAsia="Times New Roman" w:hAnsi="Times" w:cs="Times New Roman"/>
          <w:color w:val="333333"/>
          <w:sz w:val="22"/>
          <w:szCs w:val="22"/>
          <w:bdr w:val="none" w:sz="0" w:space="0" w:color="auto" w:frame="1"/>
        </w:rPr>
      </w:pPr>
      <w:r w:rsidRPr="00BC1FFB">
        <w:rPr>
          <w:rFonts w:ascii="Times" w:eastAsia="Times New Roman" w:hAnsi="Times" w:cs="Times New Roman"/>
          <w:noProof/>
          <w:color w:val="333333"/>
          <w:sz w:val="22"/>
          <w:szCs w:val="22"/>
          <w:bdr w:val="none" w:sz="0" w:space="0" w:color="auto" w:frame="1"/>
        </w:rPr>
        <w:drawing>
          <wp:inline distT="0" distB="0" distL="0" distR="0" wp14:anchorId="79161720" wp14:editId="52F5E641">
            <wp:extent cx="5943600" cy="492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5 at 3.01.4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inline>
        </w:drawing>
      </w:r>
    </w:p>
    <w:p w14:paraId="4E28D76C" w14:textId="77777777" w:rsidR="00BC1FFB" w:rsidRPr="00BC1FFB" w:rsidRDefault="00BC1FFB" w:rsidP="00BC1FFB">
      <w:pPr>
        <w:rPr>
          <w:rFonts w:ascii="Times" w:eastAsia="Times New Roman" w:hAnsi="Times" w:cs="Times New Roman"/>
          <w:color w:val="333333"/>
          <w:sz w:val="22"/>
          <w:szCs w:val="22"/>
          <w:bdr w:val="none" w:sz="0" w:space="0" w:color="auto" w:frame="1"/>
        </w:rPr>
      </w:pPr>
    </w:p>
    <w:p w14:paraId="0FDD365C" w14:textId="3E9A54D5" w:rsidR="00BC1FFB" w:rsidRPr="00BC1FFB" w:rsidRDefault="00BC1FFB" w:rsidP="00B70B56">
      <w:pPr>
        <w:ind w:left="720"/>
        <w:rPr>
          <w:rFonts w:ascii="Times" w:eastAsia="Times New Roman" w:hAnsi="Times" w:cs="Times New Roman"/>
          <w:color w:val="333333"/>
          <w:sz w:val="22"/>
          <w:szCs w:val="22"/>
          <w:bdr w:val="none" w:sz="0" w:space="0" w:color="auto" w:frame="1"/>
        </w:rPr>
      </w:pPr>
      <w:r w:rsidRPr="00BC1FFB">
        <w:rPr>
          <w:rFonts w:ascii="Times" w:eastAsia="Times New Roman" w:hAnsi="Times" w:cs="Times New Roman"/>
          <w:color w:val="333333"/>
          <w:sz w:val="22"/>
          <w:szCs w:val="22"/>
          <w:bdr w:val="none" w:sz="0" w:space="0" w:color="auto" w:frame="1"/>
        </w:rPr>
        <w:lastRenderedPageBreak/>
        <w:t xml:space="preserve">The following links will take you to the original </w:t>
      </w:r>
      <w:r w:rsidR="00B70B56">
        <w:rPr>
          <w:rFonts w:ascii="Times" w:eastAsia="Times New Roman" w:hAnsi="Times" w:cs="Times New Roman"/>
          <w:color w:val="333333"/>
          <w:sz w:val="22"/>
          <w:szCs w:val="22"/>
          <w:bdr w:val="none" w:sz="0" w:space="0" w:color="auto" w:frame="1"/>
        </w:rPr>
        <w:t xml:space="preserve">data </w:t>
      </w:r>
      <w:r w:rsidRPr="00BC1FFB">
        <w:rPr>
          <w:rFonts w:ascii="Times" w:eastAsia="Times New Roman" w:hAnsi="Times" w:cs="Times New Roman"/>
          <w:color w:val="333333"/>
          <w:sz w:val="22"/>
          <w:szCs w:val="22"/>
          <w:bdr w:val="none" w:sz="0" w:space="0" w:color="auto" w:frame="1"/>
        </w:rPr>
        <w:t>source</w:t>
      </w:r>
      <w:r w:rsidR="00B70B56">
        <w:rPr>
          <w:rFonts w:ascii="Times" w:eastAsia="Times New Roman" w:hAnsi="Times" w:cs="Times New Roman"/>
          <w:color w:val="333333"/>
          <w:sz w:val="22"/>
          <w:szCs w:val="22"/>
          <w:bdr w:val="none" w:sz="0" w:space="0" w:color="auto" w:frame="1"/>
        </w:rPr>
        <w:t>s</w:t>
      </w:r>
      <w:r w:rsidRPr="00BC1FFB">
        <w:rPr>
          <w:rFonts w:ascii="Times" w:eastAsia="Times New Roman" w:hAnsi="Times" w:cs="Times New Roman"/>
          <w:color w:val="333333"/>
          <w:sz w:val="22"/>
          <w:szCs w:val="22"/>
          <w:bdr w:val="none" w:sz="0" w:space="0" w:color="auto" w:frame="1"/>
        </w:rPr>
        <w:t>. Scroll down to the bottom of each page to find the</w:t>
      </w:r>
      <w:r w:rsidRPr="00BC1FFB">
        <w:rPr>
          <w:rFonts w:ascii="Times" w:eastAsia="Times New Roman" w:hAnsi="Times" w:cs="Times New Roman"/>
          <w:color w:val="333333"/>
          <w:sz w:val="22"/>
          <w:szCs w:val="22"/>
          <w:bdr w:val="none" w:sz="0" w:space="0" w:color="auto" w:frame="1"/>
        </w:rPr>
        <w:t xml:space="preserve"> </w:t>
      </w:r>
      <w:r w:rsidRPr="00BC1FFB">
        <w:rPr>
          <w:rFonts w:ascii="Times" w:eastAsia="Times New Roman" w:hAnsi="Times" w:cs="Times New Roman"/>
          <w:color w:val="333333"/>
          <w:sz w:val="22"/>
          <w:szCs w:val="22"/>
          <w:bdr w:val="none" w:sz="0" w:space="0" w:color="auto" w:frame="1"/>
        </w:rPr>
        <w:t>table</w:t>
      </w:r>
      <w:r w:rsidRPr="00BC1FFB">
        <w:rPr>
          <w:rFonts w:ascii="Times" w:eastAsia="Times New Roman" w:hAnsi="Times" w:cs="Times New Roman"/>
          <w:color w:val="333333"/>
          <w:sz w:val="22"/>
          <w:szCs w:val="22"/>
          <w:bdr w:val="none" w:sz="0" w:space="0" w:color="auto" w:frame="1"/>
        </w:rPr>
        <w:t>s</w:t>
      </w:r>
      <w:r w:rsidR="00B70B56">
        <w:rPr>
          <w:rFonts w:ascii="Times" w:eastAsia="Times New Roman" w:hAnsi="Times" w:cs="Times New Roman"/>
          <w:color w:val="333333"/>
          <w:sz w:val="22"/>
          <w:szCs w:val="22"/>
          <w:bdr w:val="none" w:sz="0" w:space="0" w:color="auto" w:frame="1"/>
        </w:rPr>
        <w:t xml:space="preserve">. Once you find the tables, you will need to click on individual months to see the data by month. </w:t>
      </w:r>
      <w:bookmarkStart w:id="0" w:name="_GoBack"/>
      <w:bookmarkEnd w:id="0"/>
      <w:r w:rsidRPr="00BC1FFB">
        <w:rPr>
          <w:rFonts w:ascii="Times" w:eastAsia="Times New Roman" w:hAnsi="Times" w:cs="Times New Roman"/>
          <w:color w:val="333333"/>
          <w:sz w:val="22"/>
          <w:szCs w:val="22"/>
          <w:bdr w:val="none" w:sz="0" w:space="0" w:color="auto" w:frame="1"/>
        </w:rPr>
        <w:t xml:space="preserve"> </w:t>
      </w:r>
    </w:p>
    <w:p w14:paraId="347B1F05" w14:textId="6C6E9E9A" w:rsidR="00BC1FFB" w:rsidRPr="00BC1FFB" w:rsidRDefault="00BC1FFB" w:rsidP="00B70B56">
      <w:pPr>
        <w:ind w:left="720"/>
        <w:rPr>
          <w:rFonts w:ascii="Times" w:eastAsia="Times New Roman" w:hAnsi="Times" w:cs="Times New Roman"/>
          <w:color w:val="333333"/>
          <w:sz w:val="22"/>
          <w:szCs w:val="22"/>
          <w:bdr w:val="none" w:sz="0" w:space="0" w:color="auto" w:frame="1"/>
        </w:rPr>
      </w:pPr>
    </w:p>
    <w:p w14:paraId="6AC7731A" w14:textId="00573FB6" w:rsidR="00BC1FFB" w:rsidRPr="00BC1FFB" w:rsidRDefault="00BC1FFB" w:rsidP="00B70B56">
      <w:pPr>
        <w:ind w:left="720"/>
        <w:rPr>
          <w:rFonts w:ascii="Times" w:eastAsia="Times New Roman" w:hAnsi="Times" w:cs="Times New Roman"/>
          <w:color w:val="333333"/>
          <w:sz w:val="22"/>
          <w:szCs w:val="22"/>
          <w:bdr w:val="none" w:sz="0" w:space="0" w:color="auto" w:frame="1"/>
        </w:rPr>
      </w:pPr>
      <w:r w:rsidRPr="00BC1FFB">
        <w:rPr>
          <w:rFonts w:ascii="Times" w:eastAsia="Times New Roman" w:hAnsi="Times" w:cs="Times New Roman"/>
          <w:color w:val="333333"/>
          <w:sz w:val="22"/>
          <w:szCs w:val="22"/>
          <w:bdr w:val="none" w:sz="0" w:space="0" w:color="auto" w:frame="1"/>
        </w:rPr>
        <w:t>2019</w:t>
      </w:r>
    </w:p>
    <w:p w14:paraId="12DC00E9" w14:textId="77777777" w:rsidR="00BC1FFB" w:rsidRPr="00BC1FFB" w:rsidRDefault="00BC1FFB" w:rsidP="00B70B56">
      <w:pPr>
        <w:ind w:left="720"/>
        <w:rPr>
          <w:rFonts w:ascii="Times" w:eastAsia="Times New Roman" w:hAnsi="Times" w:cs="Times New Roman"/>
          <w:sz w:val="22"/>
          <w:szCs w:val="22"/>
        </w:rPr>
      </w:pPr>
      <w:hyperlink r:id="rId6" w:history="1">
        <w:r w:rsidRPr="00BC1FFB">
          <w:rPr>
            <w:rFonts w:ascii="Times" w:eastAsia="Times New Roman" w:hAnsi="Times" w:cs="Times New Roman"/>
            <w:color w:val="0000FF"/>
            <w:sz w:val="22"/>
            <w:szCs w:val="22"/>
            <w:u w:val="single"/>
          </w:rPr>
          <w:t>https://www.cbp.gov/newsroom/stats/sw-border-migration/usbp-sw-border-apprehensions</w:t>
        </w:r>
      </w:hyperlink>
    </w:p>
    <w:p w14:paraId="542380EF" w14:textId="77777777" w:rsidR="00BC1FFB" w:rsidRPr="00BC1FFB" w:rsidRDefault="00BC1FFB" w:rsidP="00B70B56">
      <w:pPr>
        <w:ind w:left="720"/>
        <w:rPr>
          <w:rFonts w:ascii="Times" w:eastAsia="Times New Roman" w:hAnsi="Times" w:cs="Times New Roman"/>
          <w:color w:val="333333"/>
          <w:sz w:val="22"/>
          <w:szCs w:val="22"/>
          <w:bdr w:val="none" w:sz="0" w:space="0" w:color="auto" w:frame="1"/>
        </w:rPr>
      </w:pPr>
    </w:p>
    <w:p w14:paraId="013FF8D1" w14:textId="0371F68B" w:rsidR="00BC1FFB" w:rsidRPr="00BC1FFB" w:rsidRDefault="00BC1FFB" w:rsidP="00B70B56">
      <w:pPr>
        <w:ind w:left="720"/>
        <w:rPr>
          <w:rFonts w:ascii="Times" w:eastAsia="Times New Roman" w:hAnsi="Times" w:cs="Times New Roman"/>
          <w:color w:val="333333"/>
          <w:sz w:val="22"/>
          <w:szCs w:val="22"/>
          <w:bdr w:val="none" w:sz="0" w:space="0" w:color="auto" w:frame="1"/>
        </w:rPr>
      </w:pPr>
      <w:r w:rsidRPr="00BC1FFB">
        <w:rPr>
          <w:rFonts w:ascii="Times" w:eastAsia="Times New Roman" w:hAnsi="Times" w:cs="Times New Roman"/>
          <w:color w:val="333333"/>
          <w:sz w:val="22"/>
          <w:szCs w:val="22"/>
          <w:bdr w:val="none" w:sz="0" w:space="0" w:color="auto" w:frame="1"/>
        </w:rPr>
        <w:t>2018</w:t>
      </w:r>
    </w:p>
    <w:p w14:paraId="7261D41C" w14:textId="77777777" w:rsidR="00BC1FFB" w:rsidRPr="00745864" w:rsidRDefault="00BC1FFB" w:rsidP="00B70B56">
      <w:pPr>
        <w:ind w:left="720"/>
        <w:rPr>
          <w:rFonts w:ascii="Times" w:eastAsia="Times New Roman" w:hAnsi="Times" w:cs="Times New Roman"/>
          <w:sz w:val="22"/>
          <w:szCs w:val="22"/>
        </w:rPr>
      </w:pPr>
      <w:hyperlink r:id="rId7" w:history="1">
        <w:r w:rsidRPr="00745864">
          <w:rPr>
            <w:rFonts w:ascii="Times" w:eastAsia="Times New Roman" w:hAnsi="Times" w:cs="Times New Roman"/>
            <w:color w:val="0000FF"/>
            <w:sz w:val="22"/>
            <w:szCs w:val="22"/>
            <w:u w:val="single"/>
          </w:rPr>
          <w:t>https://www.cbp.gov/newsroom/stats</w:t>
        </w:r>
        <w:r w:rsidRPr="00745864">
          <w:rPr>
            <w:rFonts w:ascii="Times" w:eastAsia="Times New Roman" w:hAnsi="Times" w:cs="Times New Roman"/>
            <w:color w:val="0000FF"/>
            <w:sz w:val="22"/>
            <w:szCs w:val="22"/>
            <w:u w:val="single"/>
          </w:rPr>
          <w:t>/</w:t>
        </w:r>
        <w:r w:rsidRPr="00745864">
          <w:rPr>
            <w:rFonts w:ascii="Times" w:eastAsia="Times New Roman" w:hAnsi="Times" w:cs="Times New Roman"/>
            <w:color w:val="0000FF"/>
            <w:sz w:val="22"/>
            <w:szCs w:val="22"/>
            <w:u w:val="single"/>
          </w:rPr>
          <w:t>u</w:t>
        </w:r>
        <w:r w:rsidRPr="00745864">
          <w:rPr>
            <w:rFonts w:ascii="Times" w:eastAsia="Times New Roman" w:hAnsi="Times" w:cs="Times New Roman"/>
            <w:color w:val="0000FF"/>
            <w:sz w:val="22"/>
            <w:szCs w:val="22"/>
            <w:u w:val="single"/>
          </w:rPr>
          <w:t>s</w:t>
        </w:r>
        <w:r w:rsidRPr="00745864">
          <w:rPr>
            <w:rFonts w:ascii="Times" w:eastAsia="Times New Roman" w:hAnsi="Times" w:cs="Times New Roman"/>
            <w:color w:val="0000FF"/>
            <w:sz w:val="22"/>
            <w:szCs w:val="22"/>
            <w:u w:val="single"/>
          </w:rPr>
          <w:t>bp-sw-border-apprehensions</w:t>
        </w:r>
      </w:hyperlink>
    </w:p>
    <w:p w14:paraId="2E133973" w14:textId="460BDEC7" w:rsidR="00BC1FFB" w:rsidRPr="00BC1FFB" w:rsidRDefault="00BC1FFB" w:rsidP="00B70B56">
      <w:pPr>
        <w:ind w:left="720"/>
        <w:rPr>
          <w:rFonts w:ascii="Times" w:eastAsia="Times New Roman" w:hAnsi="Times" w:cs="Times New Roman"/>
          <w:color w:val="333333"/>
          <w:sz w:val="22"/>
          <w:szCs w:val="22"/>
          <w:bdr w:val="none" w:sz="0" w:space="0" w:color="auto" w:frame="1"/>
        </w:rPr>
      </w:pPr>
    </w:p>
    <w:p w14:paraId="506E5F8B" w14:textId="5527A194" w:rsidR="00BC1FFB" w:rsidRPr="00BC1FFB" w:rsidRDefault="00BC1FFB" w:rsidP="00B70B56">
      <w:pPr>
        <w:ind w:left="720"/>
        <w:rPr>
          <w:rFonts w:ascii="Times" w:eastAsia="Times New Roman" w:hAnsi="Times" w:cs="Times New Roman"/>
          <w:color w:val="333333"/>
          <w:sz w:val="22"/>
          <w:szCs w:val="22"/>
          <w:bdr w:val="none" w:sz="0" w:space="0" w:color="auto" w:frame="1"/>
        </w:rPr>
      </w:pPr>
      <w:r w:rsidRPr="00BC1FFB">
        <w:rPr>
          <w:rFonts w:ascii="Times" w:eastAsia="Times New Roman" w:hAnsi="Times" w:cs="Times New Roman"/>
          <w:color w:val="333333"/>
          <w:sz w:val="22"/>
          <w:szCs w:val="22"/>
          <w:bdr w:val="none" w:sz="0" w:space="0" w:color="auto" w:frame="1"/>
        </w:rPr>
        <w:t>2017</w:t>
      </w:r>
    </w:p>
    <w:p w14:paraId="328FAD3F" w14:textId="77777777" w:rsidR="00BC1FFB" w:rsidRPr="00745864" w:rsidRDefault="00BC1FFB" w:rsidP="00B70B56">
      <w:pPr>
        <w:ind w:left="720"/>
        <w:rPr>
          <w:rFonts w:ascii="Times" w:eastAsia="Times New Roman" w:hAnsi="Times" w:cs="Times New Roman"/>
          <w:sz w:val="22"/>
          <w:szCs w:val="22"/>
        </w:rPr>
      </w:pPr>
      <w:hyperlink r:id="rId8" w:history="1">
        <w:r w:rsidRPr="00745864">
          <w:rPr>
            <w:rFonts w:ascii="Times" w:eastAsia="Times New Roman" w:hAnsi="Times" w:cs="Times New Roman"/>
            <w:color w:val="0000FF"/>
            <w:sz w:val="22"/>
            <w:szCs w:val="22"/>
            <w:u w:val="single"/>
          </w:rPr>
          <w:t>https://www.cbp.gov/newsroom/stats/southwest-border-unaccompanied-children/fy-2016</w:t>
        </w:r>
      </w:hyperlink>
    </w:p>
    <w:p w14:paraId="22AEBE93" w14:textId="2E967281" w:rsidR="00154ED4" w:rsidRPr="00BC1FFB" w:rsidRDefault="00B70B56">
      <w:pPr>
        <w:rPr>
          <w:rFonts w:ascii="Times" w:hAnsi="Times"/>
          <w:sz w:val="22"/>
          <w:szCs w:val="22"/>
        </w:rPr>
      </w:pPr>
    </w:p>
    <w:p w14:paraId="0D41E284" w14:textId="4E5291BA" w:rsidR="00BC1FFB" w:rsidRPr="00B70B56" w:rsidRDefault="00BC1FFB" w:rsidP="00B70B56">
      <w:pPr>
        <w:pStyle w:val="ListParagraph"/>
        <w:numPr>
          <w:ilvl w:val="0"/>
          <w:numId w:val="1"/>
        </w:numPr>
        <w:rPr>
          <w:rFonts w:ascii="Times" w:hAnsi="Times"/>
          <w:b/>
          <w:bCs/>
          <w:sz w:val="22"/>
          <w:szCs w:val="22"/>
        </w:rPr>
      </w:pPr>
      <w:r w:rsidRPr="00BC1FFB">
        <w:rPr>
          <w:rFonts w:ascii="Times" w:hAnsi="Times"/>
          <w:b/>
          <w:bCs/>
          <w:sz w:val="22"/>
          <w:szCs w:val="22"/>
        </w:rPr>
        <w:t>Variable: At POE</w:t>
      </w:r>
    </w:p>
    <w:p w14:paraId="5E1F8B52" w14:textId="32269593" w:rsidR="00BC1FFB" w:rsidRPr="00BC1FFB" w:rsidRDefault="00BC1FFB" w:rsidP="00BC1FFB">
      <w:pPr>
        <w:pStyle w:val="Heading1"/>
        <w:spacing w:before="0" w:beforeAutospacing="0" w:after="150" w:afterAutospacing="0"/>
        <w:ind w:left="720"/>
        <w:textAlignment w:val="baseline"/>
        <w:rPr>
          <w:rFonts w:ascii="Times" w:hAnsi="Times"/>
          <w:b w:val="0"/>
          <w:bCs w:val="0"/>
          <w:color w:val="333333"/>
          <w:spacing w:val="-12"/>
          <w:sz w:val="22"/>
          <w:szCs w:val="22"/>
        </w:rPr>
      </w:pPr>
      <w:r w:rsidRPr="00BC1FFB">
        <w:rPr>
          <w:rFonts w:ascii="Times" w:hAnsi="Times"/>
          <w:b w:val="0"/>
          <w:bCs w:val="0"/>
          <w:sz w:val="22"/>
          <w:szCs w:val="22"/>
        </w:rPr>
        <w:t>Statistics for the “At POE” variable were</w:t>
      </w:r>
      <w:r w:rsidRPr="00BC1FFB">
        <w:rPr>
          <w:rFonts w:ascii="Times" w:hAnsi="Times"/>
          <w:b w:val="0"/>
          <w:bCs w:val="0"/>
          <w:sz w:val="22"/>
          <w:szCs w:val="22"/>
        </w:rPr>
        <w:t xml:space="preserve"> compiled from </w:t>
      </w:r>
      <w:r w:rsidR="00B70B56">
        <w:rPr>
          <w:rFonts w:ascii="Times" w:hAnsi="Times"/>
          <w:b w:val="0"/>
          <w:bCs w:val="0"/>
          <w:sz w:val="22"/>
          <w:szCs w:val="22"/>
        </w:rPr>
        <w:t>data sources</w:t>
      </w:r>
      <w:r w:rsidRPr="00BC1FFB">
        <w:rPr>
          <w:rFonts w:ascii="Times" w:hAnsi="Times"/>
          <w:b w:val="0"/>
          <w:bCs w:val="0"/>
          <w:sz w:val="22"/>
          <w:szCs w:val="22"/>
        </w:rPr>
        <w:t xml:space="preserve"> titled “S</w:t>
      </w:r>
      <w:r w:rsidRPr="00BC1FFB">
        <w:rPr>
          <w:rFonts w:ascii="Times" w:hAnsi="Times"/>
          <w:b w:val="0"/>
          <w:bCs w:val="0"/>
          <w:color w:val="333333"/>
          <w:spacing w:val="-12"/>
          <w:sz w:val="22"/>
          <w:szCs w:val="22"/>
        </w:rPr>
        <w:t xml:space="preserve">outhwest Border </w:t>
      </w:r>
      <w:proofErr w:type="spellStart"/>
      <w:r w:rsidRPr="00BC1FFB">
        <w:rPr>
          <w:rFonts w:ascii="Times" w:hAnsi="Times"/>
          <w:b w:val="0"/>
          <w:bCs w:val="0"/>
          <w:color w:val="333333"/>
          <w:spacing w:val="-12"/>
          <w:sz w:val="22"/>
          <w:szCs w:val="22"/>
        </w:rPr>
        <w:t>Inadmissibles</w:t>
      </w:r>
      <w:proofErr w:type="spellEnd"/>
      <w:r w:rsidRPr="00BC1FFB">
        <w:rPr>
          <w:rFonts w:ascii="Times" w:hAnsi="Times"/>
          <w:b w:val="0"/>
          <w:bCs w:val="0"/>
          <w:color w:val="333333"/>
          <w:spacing w:val="-12"/>
          <w:sz w:val="22"/>
          <w:szCs w:val="22"/>
        </w:rPr>
        <w:t xml:space="preserve"> by Field Office” </w:t>
      </w:r>
      <w:r w:rsidR="00B70B56">
        <w:rPr>
          <w:rFonts w:ascii="Times" w:hAnsi="Times"/>
          <w:b w:val="0"/>
          <w:bCs w:val="0"/>
          <w:color w:val="333333"/>
          <w:spacing w:val="-12"/>
          <w:sz w:val="22"/>
          <w:szCs w:val="22"/>
        </w:rPr>
        <w:t>for</w:t>
      </w:r>
      <w:r w:rsidRPr="00BC1FFB">
        <w:rPr>
          <w:rFonts w:ascii="Times" w:hAnsi="Times"/>
          <w:b w:val="0"/>
          <w:bCs w:val="0"/>
          <w:color w:val="333333"/>
          <w:spacing w:val="-12"/>
          <w:sz w:val="22"/>
          <w:szCs w:val="22"/>
        </w:rPr>
        <w:t xml:space="preserve"> Fiscal Years 2019, 2018, and 2017</w:t>
      </w:r>
      <w:r w:rsidRPr="00BC1FFB">
        <w:rPr>
          <w:rFonts w:ascii="Times" w:hAnsi="Times"/>
          <w:b w:val="0"/>
          <w:bCs w:val="0"/>
          <w:color w:val="333333"/>
          <w:spacing w:val="-12"/>
          <w:sz w:val="22"/>
          <w:szCs w:val="22"/>
        </w:rPr>
        <w:t xml:space="preserve">. </w:t>
      </w:r>
    </w:p>
    <w:p w14:paraId="177C4264" w14:textId="4EBD1525" w:rsidR="00BC1FFB" w:rsidRPr="00BC1FFB" w:rsidRDefault="00BC1FFB" w:rsidP="00BC1FFB">
      <w:pPr>
        <w:ind w:left="720"/>
        <w:rPr>
          <w:rFonts w:ascii="Times" w:eastAsia="Times New Roman" w:hAnsi="Times" w:cs="Times New Roman"/>
          <w:sz w:val="22"/>
          <w:szCs w:val="22"/>
        </w:rPr>
      </w:pPr>
      <w:r w:rsidRPr="00BC1FFB">
        <w:rPr>
          <w:rFonts w:ascii="Times" w:eastAsia="Times New Roman" w:hAnsi="Times" w:cs="Times New Roman"/>
          <w:sz w:val="22"/>
          <w:szCs w:val="22"/>
        </w:rPr>
        <w:t xml:space="preserve">The following links will take you to the original </w:t>
      </w:r>
      <w:r w:rsidR="00B70B56">
        <w:rPr>
          <w:rFonts w:ascii="Times" w:eastAsia="Times New Roman" w:hAnsi="Times" w:cs="Times New Roman"/>
          <w:sz w:val="22"/>
          <w:szCs w:val="22"/>
        </w:rPr>
        <w:t xml:space="preserve">data </w:t>
      </w:r>
      <w:r w:rsidRPr="00BC1FFB">
        <w:rPr>
          <w:rFonts w:ascii="Times" w:eastAsia="Times New Roman" w:hAnsi="Times" w:cs="Times New Roman"/>
          <w:sz w:val="22"/>
          <w:szCs w:val="22"/>
        </w:rPr>
        <w:t xml:space="preserve">source: </w:t>
      </w:r>
    </w:p>
    <w:p w14:paraId="6B8A046D" w14:textId="4BE204D0" w:rsidR="00BC1FFB" w:rsidRPr="00BC1FFB" w:rsidRDefault="00BC1FFB" w:rsidP="00BC1FFB">
      <w:pPr>
        <w:ind w:left="720"/>
        <w:rPr>
          <w:rFonts w:ascii="Times" w:eastAsia="Times New Roman" w:hAnsi="Times" w:cs="Times New Roman"/>
          <w:sz w:val="22"/>
          <w:szCs w:val="22"/>
        </w:rPr>
      </w:pPr>
    </w:p>
    <w:p w14:paraId="38DF7A87" w14:textId="2903D59F" w:rsidR="00BC1FFB" w:rsidRPr="00BC1FFB" w:rsidRDefault="00BC1FFB" w:rsidP="00BC1FFB">
      <w:pPr>
        <w:ind w:left="720"/>
        <w:rPr>
          <w:rFonts w:ascii="Times" w:eastAsia="Times New Roman" w:hAnsi="Times" w:cs="Times New Roman"/>
          <w:sz w:val="22"/>
          <w:szCs w:val="22"/>
        </w:rPr>
      </w:pPr>
      <w:r w:rsidRPr="00BC1FFB">
        <w:rPr>
          <w:rFonts w:ascii="Times" w:eastAsia="Times New Roman" w:hAnsi="Times" w:cs="Times New Roman"/>
          <w:sz w:val="22"/>
          <w:szCs w:val="22"/>
        </w:rPr>
        <w:t>2019</w:t>
      </w:r>
    </w:p>
    <w:p w14:paraId="0D797EA8" w14:textId="4A44C90E" w:rsidR="00BC1FFB" w:rsidRPr="00BC1FFB" w:rsidRDefault="00BC1FFB" w:rsidP="00BC1FFB">
      <w:pPr>
        <w:ind w:left="720"/>
        <w:rPr>
          <w:rFonts w:ascii="Times" w:eastAsia="Times New Roman" w:hAnsi="Times" w:cs="Times New Roman"/>
          <w:sz w:val="22"/>
          <w:szCs w:val="22"/>
        </w:rPr>
      </w:pPr>
      <w:hyperlink r:id="rId9" w:history="1">
        <w:r w:rsidRPr="00BC1FFB">
          <w:rPr>
            <w:rStyle w:val="Hyperlink"/>
            <w:rFonts w:ascii="Times" w:eastAsia="Times New Roman" w:hAnsi="Times" w:cs="Times New Roman"/>
            <w:sz w:val="22"/>
            <w:szCs w:val="22"/>
          </w:rPr>
          <w:t>https://www.cbp.gov/newsroom/stats/sw-border-migration/ofo-sw-border-inadmissibles</w:t>
        </w:r>
      </w:hyperlink>
    </w:p>
    <w:p w14:paraId="7994A49F" w14:textId="13270DB4" w:rsidR="00BC1FFB" w:rsidRPr="00BC1FFB" w:rsidRDefault="00BC1FFB" w:rsidP="00BC1FFB">
      <w:pPr>
        <w:pStyle w:val="Heading1"/>
        <w:spacing w:before="0" w:beforeAutospacing="0" w:after="150" w:afterAutospacing="0"/>
        <w:ind w:left="720"/>
        <w:textAlignment w:val="baseline"/>
        <w:rPr>
          <w:rFonts w:ascii="Times" w:hAnsi="Times"/>
          <w:b w:val="0"/>
          <w:bCs w:val="0"/>
          <w:color w:val="333333"/>
          <w:spacing w:val="-12"/>
          <w:sz w:val="22"/>
          <w:szCs w:val="22"/>
        </w:rPr>
      </w:pPr>
    </w:p>
    <w:p w14:paraId="5C457D2B" w14:textId="691E6EB2" w:rsidR="00BC1FFB" w:rsidRPr="00BC1FFB" w:rsidRDefault="00BC1FFB" w:rsidP="00BC1FFB">
      <w:pPr>
        <w:pStyle w:val="Heading1"/>
        <w:spacing w:before="0" w:beforeAutospacing="0" w:after="150" w:afterAutospacing="0"/>
        <w:ind w:left="720"/>
        <w:textAlignment w:val="baseline"/>
        <w:rPr>
          <w:rFonts w:ascii="Times" w:hAnsi="Times"/>
          <w:b w:val="0"/>
          <w:bCs w:val="0"/>
          <w:color w:val="333333"/>
          <w:spacing w:val="-12"/>
          <w:sz w:val="22"/>
          <w:szCs w:val="22"/>
        </w:rPr>
      </w:pPr>
      <w:r w:rsidRPr="00BC1FFB">
        <w:rPr>
          <w:rFonts w:ascii="Times" w:hAnsi="Times"/>
          <w:b w:val="0"/>
          <w:bCs w:val="0"/>
          <w:color w:val="333333"/>
          <w:spacing w:val="-12"/>
          <w:sz w:val="22"/>
          <w:szCs w:val="22"/>
        </w:rPr>
        <w:t>2018</w:t>
      </w:r>
    </w:p>
    <w:p w14:paraId="2A940BA5" w14:textId="77777777" w:rsidR="00BC1FFB" w:rsidRPr="00BC1FFB" w:rsidRDefault="00BC1FFB" w:rsidP="00BC1FFB">
      <w:pPr>
        <w:ind w:left="720"/>
        <w:rPr>
          <w:rFonts w:ascii="Times" w:eastAsia="Times New Roman" w:hAnsi="Times" w:cs="Times New Roman"/>
          <w:sz w:val="22"/>
          <w:szCs w:val="22"/>
        </w:rPr>
      </w:pPr>
      <w:hyperlink r:id="rId10" w:history="1">
        <w:r w:rsidRPr="00BC1FFB">
          <w:rPr>
            <w:rFonts w:ascii="Times" w:eastAsia="Times New Roman" w:hAnsi="Times" w:cs="Times New Roman"/>
            <w:color w:val="0000FF"/>
            <w:sz w:val="22"/>
            <w:szCs w:val="22"/>
            <w:u w:val="single"/>
          </w:rPr>
          <w:t>https://www.cbp.gov/newsroom/stats/ofo-sw-border-inadmissibles</w:t>
        </w:r>
      </w:hyperlink>
    </w:p>
    <w:p w14:paraId="419D849F" w14:textId="4F89936E" w:rsidR="00BC1FFB" w:rsidRPr="00BC1FFB" w:rsidRDefault="00BC1FFB" w:rsidP="00BC1FFB">
      <w:pPr>
        <w:pStyle w:val="Heading1"/>
        <w:spacing w:before="0" w:beforeAutospacing="0" w:after="150" w:afterAutospacing="0"/>
        <w:ind w:left="720"/>
        <w:textAlignment w:val="baseline"/>
        <w:rPr>
          <w:rFonts w:ascii="Times" w:hAnsi="Times"/>
          <w:b w:val="0"/>
          <w:bCs w:val="0"/>
          <w:color w:val="333333"/>
          <w:spacing w:val="-12"/>
          <w:sz w:val="22"/>
          <w:szCs w:val="22"/>
        </w:rPr>
      </w:pPr>
    </w:p>
    <w:p w14:paraId="6BE9CAF6" w14:textId="50436EB2" w:rsidR="00BC1FFB" w:rsidRPr="00BC1FFB" w:rsidRDefault="00BC1FFB" w:rsidP="00BC1FFB">
      <w:pPr>
        <w:pStyle w:val="Heading1"/>
        <w:spacing w:before="0" w:beforeAutospacing="0" w:after="150" w:afterAutospacing="0"/>
        <w:ind w:left="720"/>
        <w:textAlignment w:val="baseline"/>
        <w:rPr>
          <w:rFonts w:ascii="Times" w:hAnsi="Times"/>
          <w:b w:val="0"/>
          <w:bCs w:val="0"/>
          <w:color w:val="333333"/>
          <w:spacing w:val="-12"/>
          <w:sz w:val="22"/>
          <w:szCs w:val="22"/>
        </w:rPr>
      </w:pPr>
      <w:r w:rsidRPr="00BC1FFB">
        <w:rPr>
          <w:rFonts w:ascii="Times" w:hAnsi="Times"/>
          <w:b w:val="0"/>
          <w:bCs w:val="0"/>
          <w:color w:val="333333"/>
          <w:spacing w:val="-12"/>
          <w:sz w:val="22"/>
          <w:szCs w:val="22"/>
        </w:rPr>
        <w:t>2017</w:t>
      </w:r>
    </w:p>
    <w:p w14:paraId="31E71E11" w14:textId="77777777" w:rsidR="00BC1FFB" w:rsidRPr="00745864" w:rsidRDefault="00BC1FFB" w:rsidP="00BC1FFB">
      <w:pPr>
        <w:ind w:left="720"/>
        <w:rPr>
          <w:rFonts w:ascii="Times" w:eastAsia="Times New Roman" w:hAnsi="Times" w:cs="Times New Roman"/>
          <w:sz w:val="22"/>
          <w:szCs w:val="22"/>
        </w:rPr>
      </w:pPr>
      <w:hyperlink r:id="rId11" w:history="1">
        <w:r w:rsidRPr="00745864">
          <w:rPr>
            <w:rFonts w:ascii="Times" w:eastAsia="Times New Roman" w:hAnsi="Times" w:cs="Times New Roman"/>
            <w:color w:val="0000FF"/>
            <w:sz w:val="22"/>
            <w:szCs w:val="22"/>
            <w:u w:val="single"/>
          </w:rPr>
          <w:t>https://www.cbp.gov/newsroom/stats/ofo-sw-border-inadmissibles-fy2017</w:t>
        </w:r>
      </w:hyperlink>
    </w:p>
    <w:p w14:paraId="740AFFC2" w14:textId="77777777" w:rsidR="00BC1FFB" w:rsidRPr="00BC1FFB" w:rsidRDefault="00BC1FFB" w:rsidP="00BC1FFB">
      <w:pPr>
        <w:rPr>
          <w:rFonts w:ascii="Times" w:hAnsi="Times"/>
          <w:sz w:val="22"/>
          <w:szCs w:val="22"/>
        </w:rPr>
      </w:pPr>
    </w:p>
    <w:sectPr w:rsidR="00BC1FFB" w:rsidRPr="00BC1FFB" w:rsidSect="002F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64767"/>
    <w:multiLevelType w:val="hybridMultilevel"/>
    <w:tmpl w:val="F21244CC"/>
    <w:lvl w:ilvl="0" w:tplc="1A3A9D66">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FB"/>
    <w:rsid w:val="002F672A"/>
    <w:rsid w:val="004E078C"/>
    <w:rsid w:val="0079361D"/>
    <w:rsid w:val="00B70B56"/>
    <w:rsid w:val="00BC1F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ACDDB3"/>
  <w15:chartTrackingRefBased/>
  <w15:docId w15:val="{8F094BF6-4FEA-3E47-AE74-F4AB7FB2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FB"/>
  </w:style>
  <w:style w:type="paragraph" w:styleId="Heading1">
    <w:name w:val="heading 1"/>
    <w:basedOn w:val="Normal"/>
    <w:link w:val="Heading1Char"/>
    <w:uiPriority w:val="9"/>
    <w:qFormat/>
    <w:rsid w:val="00BC1F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FB"/>
    <w:pPr>
      <w:ind w:left="720"/>
      <w:contextualSpacing/>
    </w:pPr>
  </w:style>
  <w:style w:type="paragraph" w:styleId="BalloonText">
    <w:name w:val="Balloon Text"/>
    <w:basedOn w:val="Normal"/>
    <w:link w:val="BalloonTextChar"/>
    <w:uiPriority w:val="99"/>
    <w:semiHidden/>
    <w:unhideWhenUsed/>
    <w:rsid w:val="00BC1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FFB"/>
    <w:rPr>
      <w:rFonts w:ascii="Times New Roman" w:hAnsi="Times New Roman" w:cs="Times New Roman"/>
      <w:sz w:val="18"/>
      <w:szCs w:val="18"/>
    </w:rPr>
  </w:style>
  <w:style w:type="character" w:customStyle="1" w:styleId="Heading1Char">
    <w:name w:val="Heading 1 Char"/>
    <w:basedOn w:val="DefaultParagraphFont"/>
    <w:link w:val="Heading1"/>
    <w:uiPriority w:val="9"/>
    <w:rsid w:val="00BC1F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C1FFB"/>
    <w:rPr>
      <w:color w:val="0000FF"/>
      <w:u w:val="single"/>
    </w:rPr>
  </w:style>
  <w:style w:type="character" w:styleId="UnresolvedMention">
    <w:name w:val="Unresolved Mention"/>
    <w:basedOn w:val="DefaultParagraphFont"/>
    <w:uiPriority w:val="99"/>
    <w:semiHidden/>
    <w:unhideWhenUsed/>
    <w:rsid w:val="00BC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394587">
      <w:bodyDiv w:val="1"/>
      <w:marLeft w:val="0"/>
      <w:marRight w:val="0"/>
      <w:marTop w:val="0"/>
      <w:marBottom w:val="0"/>
      <w:divBdr>
        <w:top w:val="none" w:sz="0" w:space="0" w:color="auto"/>
        <w:left w:val="none" w:sz="0" w:space="0" w:color="auto"/>
        <w:bottom w:val="none" w:sz="0" w:space="0" w:color="auto"/>
        <w:right w:val="none" w:sz="0" w:space="0" w:color="auto"/>
      </w:divBdr>
    </w:div>
    <w:div w:id="1601258995">
      <w:bodyDiv w:val="1"/>
      <w:marLeft w:val="0"/>
      <w:marRight w:val="0"/>
      <w:marTop w:val="0"/>
      <w:marBottom w:val="0"/>
      <w:divBdr>
        <w:top w:val="none" w:sz="0" w:space="0" w:color="auto"/>
        <w:left w:val="none" w:sz="0" w:space="0" w:color="auto"/>
        <w:bottom w:val="none" w:sz="0" w:space="0" w:color="auto"/>
        <w:right w:val="none" w:sz="0" w:space="0" w:color="auto"/>
      </w:divBdr>
    </w:div>
    <w:div w:id="18943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p.gov/newsroom/stats/southwest-border-unaccompanied-children/fy-20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p.gov/newsroom/stats/usbp-sw-border-apprehen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p.gov/newsroom/stats/sw-border-migration/usbp-sw-border-apprehensions" TargetMode="External"/><Relationship Id="rId11" Type="http://schemas.openxmlformats.org/officeDocument/2006/relationships/hyperlink" Target="https://www.cbp.gov/newsroom/stats/ofo-sw-border-inadmissibles-fy2017" TargetMode="External"/><Relationship Id="rId5" Type="http://schemas.openxmlformats.org/officeDocument/2006/relationships/image" Target="media/image1.png"/><Relationship Id="rId10" Type="http://schemas.openxmlformats.org/officeDocument/2006/relationships/hyperlink" Target="https://www.cbp.gov/newsroom/stats/ofo-sw-border-inadmissibles" TargetMode="External"/><Relationship Id="rId4" Type="http://schemas.openxmlformats.org/officeDocument/2006/relationships/webSettings" Target="webSettings.xml"/><Relationship Id="rId9" Type="http://schemas.openxmlformats.org/officeDocument/2006/relationships/hyperlink" Target="https://www.cbp.gov/newsroom/stats/sw-border-migration/ofo-sw-border-inadmissi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2019-04-05T20:00:00Z</dcterms:created>
  <dcterms:modified xsi:type="dcterms:W3CDTF">2019-04-05T20:28:00Z</dcterms:modified>
</cp:coreProperties>
</file>