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ED612" w14:textId="79A38D98" w:rsidR="00B214B3" w:rsidRPr="00D01027" w:rsidRDefault="00B214B3" w:rsidP="00D01027">
      <w:pPr>
        <w:spacing w:line="480" w:lineRule="auto"/>
        <w:rPr>
          <w:rFonts w:ascii="Arial" w:hAnsi="Arial" w:cs="Arial"/>
          <w:b/>
          <w:bCs/>
        </w:rPr>
      </w:pPr>
      <w:r w:rsidRPr="00D01027">
        <w:rPr>
          <w:rFonts w:ascii="Arial" w:hAnsi="Arial" w:cs="Arial"/>
          <w:b/>
          <w:bCs/>
        </w:rPr>
        <w:t xml:space="preserve">SUPPLEMENTARY </w:t>
      </w:r>
      <w:r w:rsidR="003C51D0" w:rsidRPr="00D01027">
        <w:rPr>
          <w:rFonts w:ascii="Arial" w:hAnsi="Arial" w:cs="Arial"/>
          <w:b/>
          <w:bCs/>
        </w:rPr>
        <w:t>METHODS</w:t>
      </w:r>
    </w:p>
    <w:p w14:paraId="7E43E840" w14:textId="7EEA2741" w:rsidR="000B626F" w:rsidRPr="00D01027" w:rsidRDefault="000B626F" w:rsidP="00D01027">
      <w:pPr>
        <w:spacing w:line="480" w:lineRule="auto"/>
        <w:rPr>
          <w:rFonts w:ascii="Arial" w:hAnsi="Arial" w:cs="Arial"/>
        </w:rPr>
      </w:pPr>
    </w:p>
    <w:p w14:paraId="0E31D7F6" w14:textId="0C0EF415" w:rsidR="000B626F" w:rsidRPr="00D01027" w:rsidRDefault="000B626F" w:rsidP="00D01027">
      <w:pPr>
        <w:spacing w:line="480" w:lineRule="auto"/>
        <w:rPr>
          <w:rFonts w:ascii="Arial" w:hAnsi="Arial" w:cs="Arial"/>
          <w:b/>
          <w:bCs/>
        </w:rPr>
      </w:pPr>
      <w:r w:rsidRPr="00D01027">
        <w:rPr>
          <w:rFonts w:ascii="Arial" w:hAnsi="Arial" w:cs="Arial"/>
          <w:b/>
          <w:bCs/>
        </w:rPr>
        <w:t xml:space="preserve">RNA </w:t>
      </w:r>
      <w:r w:rsidR="0032499F" w:rsidRPr="00D01027">
        <w:rPr>
          <w:rFonts w:ascii="Arial" w:hAnsi="Arial" w:cs="Arial"/>
          <w:b/>
          <w:bCs/>
        </w:rPr>
        <w:t>E</w:t>
      </w:r>
      <w:r w:rsidRPr="00D01027">
        <w:rPr>
          <w:rFonts w:ascii="Arial" w:hAnsi="Arial" w:cs="Arial"/>
          <w:b/>
          <w:bCs/>
        </w:rPr>
        <w:t xml:space="preserve">xtraction </w:t>
      </w:r>
      <w:r w:rsidR="0032499F" w:rsidRPr="00D01027">
        <w:rPr>
          <w:rFonts w:ascii="Arial" w:hAnsi="Arial" w:cs="Arial"/>
          <w:b/>
          <w:bCs/>
        </w:rPr>
        <w:t>P</w:t>
      </w:r>
      <w:r w:rsidRPr="00D01027">
        <w:rPr>
          <w:rFonts w:ascii="Arial" w:hAnsi="Arial" w:cs="Arial"/>
          <w:b/>
          <w:bCs/>
        </w:rPr>
        <w:t>rotocols</w:t>
      </w:r>
    </w:p>
    <w:p w14:paraId="2936C3D2" w14:textId="4DB7FCF6" w:rsidR="000B626F" w:rsidRPr="00D01027" w:rsidRDefault="000B626F" w:rsidP="00D01027">
      <w:pPr>
        <w:spacing w:line="480" w:lineRule="auto"/>
        <w:rPr>
          <w:rFonts w:ascii="Arial" w:hAnsi="Arial" w:cs="Arial"/>
        </w:rPr>
      </w:pPr>
      <w:r w:rsidRPr="00D01027">
        <w:rPr>
          <w:rFonts w:ascii="Arial" w:hAnsi="Arial" w:cs="Arial"/>
        </w:rPr>
        <w:t>Minor modifications to the RNA extraction protocols of Zymo Quick-RNA FFPE kits as described by the manufacturer were made to the steps of deparaffinization and de-crosslinking conditions.  After the deparaffinization, 300 µl of the deparaffinization solution were carefully removed with a pipette and discarded before the addition of 200 µl proteinase K solution for tissue digestion.  Then the samples were vortexed briefly, incubated at 55°C for one hour in a ThermoMixer C (Eppendorf, Hamburg, Germany) with shaking at 500 rpm, then incubated overnight at 55°C without shaking.  The de-crosslinking was then performed by incubation at 80°C for 15 minutes.  Before the final elution of RNA from the Zymo-Spin™ IICR Columns, a final, one minute 20,000</w:t>
      </w:r>
      <w:r w:rsidR="008A1514" w:rsidRPr="00D01027">
        <w:rPr>
          <w:rFonts w:ascii="Arial" w:hAnsi="Arial" w:cs="Arial"/>
        </w:rPr>
        <w:t xml:space="preserve"> </w:t>
      </w:r>
      <w:r w:rsidRPr="00D01027">
        <w:rPr>
          <w:rFonts w:ascii="Arial" w:hAnsi="Arial" w:cs="Arial"/>
        </w:rPr>
        <w:t>x</w:t>
      </w:r>
      <w:r w:rsidR="008A1514" w:rsidRPr="00D01027">
        <w:rPr>
          <w:rFonts w:ascii="Arial" w:hAnsi="Arial" w:cs="Arial"/>
        </w:rPr>
        <w:t xml:space="preserve"> </w:t>
      </w:r>
      <w:r w:rsidRPr="00D01027">
        <w:rPr>
          <w:rFonts w:ascii="Arial" w:hAnsi="Arial" w:cs="Arial"/>
        </w:rPr>
        <w:t>g centrifugation was performed with the columns to remove the residual wash buffer.</w:t>
      </w:r>
    </w:p>
    <w:p w14:paraId="350325C2" w14:textId="77777777" w:rsidR="000B626F" w:rsidRPr="00D01027" w:rsidRDefault="000B626F" w:rsidP="00D01027">
      <w:pPr>
        <w:spacing w:line="480" w:lineRule="auto"/>
        <w:rPr>
          <w:rFonts w:ascii="Arial" w:hAnsi="Arial" w:cs="Arial"/>
        </w:rPr>
      </w:pPr>
    </w:p>
    <w:p w14:paraId="54CC4E7B" w14:textId="21C3F1B8" w:rsidR="000B626F" w:rsidRPr="00D01027" w:rsidRDefault="000B626F" w:rsidP="00D01027">
      <w:pPr>
        <w:spacing w:line="480" w:lineRule="auto"/>
        <w:rPr>
          <w:rFonts w:ascii="Arial" w:hAnsi="Arial" w:cs="Arial"/>
          <w:b/>
          <w:bCs/>
        </w:rPr>
      </w:pPr>
      <w:r w:rsidRPr="00D01027">
        <w:rPr>
          <w:rFonts w:ascii="Arial" w:hAnsi="Arial" w:cs="Arial"/>
          <w:b/>
          <w:bCs/>
        </w:rPr>
        <w:t xml:space="preserve">Diagnostic </w:t>
      </w:r>
      <w:r w:rsidR="0032499F" w:rsidRPr="00D01027">
        <w:rPr>
          <w:rFonts w:ascii="Arial" w:hAnsi="Arial" w:cs="Arial"/>
          <w:b/>
          <w:bCs/>
        </w:rPr>
        <w:t>M</w:t>
      </w:r>
      <w:r w:rsidRPr="00D01027">
        <w:rPr>
          <w:rFonts w:ascii="Arial" w:hAnsi="Arial" w:cs="Arial"/>
          <w:b/>
          <w:bCs/>
        </w:rPr>
        <w:t xml:space="preserve">odel </w:t>
      </w:r>
      <w:r w:rsidR="0032499F" w:rsidRPr="00D01027">
        <w:rPr>
          <w:rFonts w:ascii="Arial" w:hAnsi="Arial" w:cs="Arial"/>
          <w:b/>
          <w:bCs/>
        </w:rPr>
        <w:t>F</w:t>
      </w:r>
      <w:r w:rsidRPr="00D01027">
        <w:rPr>
          <w:rFonts w:ascii="Arial" w:hAnsi="Arial" w:cs="Arial"/>
          <w:b/>
          <w:bCs/>
        </w:rPr>
        <w:t>itting</w:t>
      </w:r>
    </w:p>
    <w:p w14:paraId="3CEB97B4" w14:textId="77777777" w:rsidR="000B626F" w:rsidRPr="00D01027" w:rsidRDefault="000B626F" w:rsidP="00D01027">
      <w:pPr>
        <w:spacing w:line="480" w:lineRule="auto"/>
        <w:rPr>
          <w:rFonts w:ascii="Arial" w:hAnsi="Arial" w:cs="Arial"/>
        </w:rPr>
      </w:pPr>
      <w:r w:rsidRPr="00D01027">
        <w:rPr>
          <w:rFonts w:ascii="Arial" w:hAnsi="Arial" w:cs="Arial"/>
        </w:rPr>
        <w:t>We evaluated various families of models that are appropriate for the classification problem of our study, in which the number of observations (samples) is small relative to the number of predictive features (genes), including regularized generalized regression models, both elastic net and LASSO; random forests; gradient boosted machine; k nearest neighbors; and support vector machines.  These families of models were fitted by 10-fold cross-validation repeated 30 times with different random allocation of samples to folds and maintaining the same allocation for all models being compared. For each model under consideration, this produced 30 instances of an out-of-fold predictions for all evaluable samples in the discovery set.  All evaluated models generated comparable out-of-fold classification accuracy.  The LASSO model was the final one chosen to build the diagnostic model, as it generated similar classification accuracy to the others and has the potential of producing more parsimonious models with fewer weighted features (genes) than the other models.</w:t>
      </w:r>
    </w:p>
    <w:p w14:paraId="3527B81F" w14:textId="77777777" w:rsidR="000B626F" w:rsidRPr="00D01027" w:rsidRDefault="000B626F" w:rsidP="00D01027">
      <w:pPr>
        <w:spacing w:line="480" w:lineRule="auto"/>
        <w:rPr>
          <w:rFonts w:ascii="Arial" w:hAnsi="Arial" w:cs="Arial"/>
        </w:rPr>
      </w:pPr>
    </w:p>
    <w:p w14:paraId="4FCF4E09" w14:textId="35A8E3BA" w:rsidR="000B626F" w:rsidRPr="00D01027" w:rsidRDefault="000B626F" w:rsidP="00D01027">
      <w:pPr>
        <w:spacing w:line="480" w:lineRule="auto"/>
        <w:rPr>
          <w:rFonts w:ascii="Arial" w:hAnsi="Arial" w:cs="Arial"/>
        </w:rPr>
      </w:pPr>
      <w:r w:rsidRPr="00D01027">
        <w:rPr>
          <w:rFonts w:ascii="Arial" w:hAnsi="Arial" w:cs="Arial"/>
          <w:b/>
          <w:bCs/>
        </w:rPr>
        <w:t xml:space="preserve">Additional </w:t>
      </w:r>
      <w:r w:rsidR="0032499F" w:rsidRPr="00D01027">
        <w:rPr>
          <w:rFonts w:ascii="Arial" w:hAnsi="Arial" w:cs="Arial"/>
          <w:b/>
          <w:bCs/>
        </w:rPr>
        <w:t>S</w:t>
      </w:r>
      <w:r w:rsidRPr="00D01027">
        <w:rPr>
          <w:rFonts w:ascii="Arial" w:hAnsi="Arial" w:cs="Arial"/>
          <w:b/>
          <w:bCs/>
        </w:rPr>
        <w:t xml:space="preserve">tatistical </w:t>
      </w:r>
      <w:r w:rsidR="0032499F" w:rsidRPr="00D01027">
        <w:rPr>
          <w:rFonts w:ascii="Arial" w:hAnsi="Arial" w:cs="Arial"/>
          <w:b/>
          <w:bCs/>
        </w:rPr>
        <w:t>M</w:t>
      </w:r>
      <w:r w:rsidRPr="00D01027">
        <w:rPr>
          <w:rFonts w:ascii="Arial" w:hAnsi="Arial" w:cs="Arial"/>
          <w:b/>
          <w:bCs/>
        </w:rPr>
        <w:t>ethods</w:t>
      </w:r>
    </w:p>
    <w:p w14:paraId="5EF181C4" w14:textId="45619EF3" w:rsidR="000B626F" w:rsidRPr="00D01027" w:rsidRDefault="000B626F" w:rsidP="00D01027">
      <w:pPr>
        <w:pStyle w:val="BodyText"/>
        <w:spacing w:before="96" w:line="480" w:lineRule="auto"/>
        <w:rPr>
          <w:rFonts w:ascii="Arial" w:hAnsi="Arial" w:cs="Arial"/>
        </w:rPr>
      </w:pPr>
      <w:r w:rsidRPr="00D01027">
        <w:rPr>
          <w:rFonts w:ascii="Arial" w:hAnsi="Arial" w:cs="Arial"/>
        </w:rPr>
        <w:t xml:space="preserve">PCA was performed using the native svd function of R to examine the potential effect on </w:t>
      </w:r>
      <w:bookmarkStart w:id="0" w:name="_Hlk119583750"/>
      <w:r w:rsidRPr="00D01027">
        <w:rPr>
          <w:rFonts w:ascii="Arial" w:hAnsi="Arial" w:cs="Arial"/>
        </w:rPr>
        <w:t xml:space="preserve">normalized gene expression profiles of biopsy samples </w:t>
      </w:r>
      <w:bookmarkEnd w:id="0"/>
      <w:r w:rsidRPr="00D01027">
        <w:rPr>
          <w:rFonts w:ascii="Arial" w:hAnsi="Arial" w:cs="Arial"/>
        </w:rPr>
        <w:t xml:space="preserve">from the change of RNA extraction protocols, and potential difference of normalized gene expression profiles between biopsies with sample age above the median and </w:t>
      </w:r>
      <w:r w:rsidRPr="00D01027">
        <w:rPr>
          <w:rFonts w:ascii="Arial" w:hAnsi="Arial" w:cs="Arial"/>
        </w:rPr>
        <w:lastRenderedPageBreak/>
        <w:t xml:space="preserve">those below the median in discovery or validation cohort.  A singular value decomposition of the log scale normalized gene expression data was used to extract the first </w:t>
      </w:r>
      <w:r w:rsidR="00BC03F2" w:rsidRPr="00D01027">
        <w:rPr>
          <w:rFonts w:ascii="Arial" w:hAnsi="Arial" w:cs="Arial"/>
        </w:rPr>
        <w:t>three</w:t>
      </w:r>
      <w:r w:rsidRPr="00D01027">
        <w:rPr>
          <w:rFonts w:ascii="Arial" w:hAnsi="Arial" w:cs="Arial"/>
        </w:rPr>
        <w:t xml:space="preserve"> principal components which account of over 90% of the variability.</w:t>
      </w:r>
    </w:p>
    <w:p w14:paraId="720C1584" w14:textId="77777777" w:rsidR="000B626F" w:rsidRPr="00D01027" w:rsidRDefault="000B626F" w:rsidP="00D01027">
      <w:pPr>
        <w:pStyle w:val="BodyText"/>
        <w:spacing w:before="96" w:line="480" w:lineRule="auto"/>
        <w:rPr>
          <w:rFonts w:ascii="Arial" w:hAnsi="Arial" w:cs="Arial"/>
        </w:rPr>
      </w:pPr>
    </w:p>
    <w:p w14:paraId="54A25693" w14:textId="288040BF" w:rsidR="000B626F" w:rsidRPr="00D01027" w:rsidRDefault="000B626F" w:rsidP="00D01027">
      <w:pPr>
        <w:pStyle w:val="BodyText"/>
        <w:spacing w:before="96" w:line="480" w:lineRule="auto"/>
        <w:rPr>
          <w:rFonts w:ascii="Arial" w:hAnsi="Arial" w:cs="Arial"/>
        </w:rPr>
      </w:pPr>
      <w:r w:rsidRPr="00D01027">
        <w:rPr>
          <w:rFonts w:ascii="Arial" w:hAnsi="Arial" w:cs="Arial"/>
        </w:rPr>
        <w:t>DGE analysis was performed to identify ABMR- and TCMR-associated genes respectively by binary comparison between samples from selected histologic classes in discovery cohort using the similar sample group strategies to the published microarray studies</w:t>
      </w:r>
      <w:r w:rsidR="0094470B" w:rsidRPr="00D01027">
        <w:rPr>
          <w:rFonts w:ascii="Arial" w:hAnsi="Arial" w:cs="Arial"/>
          <w:vertAlign w:val="superscript"/>
        </w:rPr>
        <w:t xml:space="preserve"> 1,2</w:t>
      </w:r>
      <w:r w:rsidRPr="00D01027">
        <w:rPr>
          <w:rFonts w:ascii="Arial" w:hAnsi="Arial" w:cs="Arial"/>
        </w:rPr>
        <w:t>.  ABMR-</w:t>
      </w:r>
      <w:bookmarkStart w:id="1" w:name="_Hlk119581230"/>
      <w:r w:rsidRPr="00D01027">
        <w:rPr>
          <w:rFonts w:ascii="Arial" w:hAnsi="Arial" w:cs="Arial"/>
        </w:rPr>
        <w:t>associated genes in our study were identified by comparing all A</w:t>
      </w:r>
      <w:r w:rsidRPr="00D01027">
        <w:rPr>
          <w:rFonts w:ascii="Arial" w:hAnsi="Arial" w:cs="Arial"/>
          <w:vertAlign w:val="subscript"/>
        </w:rPr>
        <w:t>H</w:t>
      </w:r>
      <w:r w:rsidRPr="00D01027">
        <w:rPr>
          <w:rFonts w:ascii="Arial" w:hAnsi="Arial" w:cs="Arial"/>
        </w:rPr>
        <w:t xml:space="preserve"> histologic class samples with all samples from both NV</w:t>
      </w:r>
      <w:r w:rsidRPr="00D01027">
        <w:rPr>
          <w:rFonts w:ascii="Arial" w:hAnsi="Arial" w:cs="Arial"/>
          <w:vertAlign w:val="subscript"/>
        </w:rPr>
        <w:t>H</w:t>
      </w:r>
      <w:r w:rsidRPr="00D01027">
        <w:rPr>
          <w:rFonts w:ascii="Arial" w:hAnsi="Arial" w:cs="Arial"/>
        </w:rPr>
        <w:t xml:space="preserve"> and T</w:t>
      </w:r>
      <w:r w:rsidRPr="00D01027">
        <w:rPr>
          <w:rFonts w:ascii="Arial" w:hAnsi="Arial" w:cs="Arial"/>
          <w:vertAlign w:val="subscript"/>
        </w:rPr>
        <w:t>H</w:t>
      </w:r>
      <w:r w:rsidRPr="00D01027">
        <w:rPr>
          <w:rFonts w:ascii="Arial" w:hAnsi="Arial" w:cs="Arial"/>
        </w:rPr>
        <w:t xml:space="preserve"> histologic classes</w:t>
      </w:r>
      <w:bookmarkEnd w:id="1"/>
      <w:r w:rsidRPr="00D01027">
        <w:rPr>
          <w:rFonts w:ascii="Arial" w:hAnsi="Arial" w:cs="Arial"/>
        </w:rPr>
        <w:t>, and TCMR-associated genes were identified by comparing all T</w:t>
      </w:r>
      <w:r w:rsidRPr="00D01027">
        <w:rPr>
          <w:rFonts w:ascii="Arial" w:hAnsi="Arial" w:cs="Arial"/>
          <w:vertAlign w:val="subscript"/>
        </w:rPr>
        <w:t>H</w:t>
      </w:r>
      <w:r w:rsidRPr="00D01027">
        <w:rPr>
          <w:rFonts w:ascii="Arial" w:hAnsi="Arial" w:cs="Arial"/>
        </w:rPr>
        <w:t xml:space="preserve"> histologic class samples with all samples from both NV</w:t>
      </w:r>
      <w:r w:rsidRPr="00D01027">
        <w:rPr>
          <w:rFonts w:ascii="Arial" w:hAnsi="Arial" w:cs="Arial"/>
          <w:vertAlign w:val="subscript"/>
        </w:rPr>
        <w:t>H</w:t>
      </w:r>
      <w:r w:rsidRPr="00D01027">
        <w:rPr>
          <w:rFonts w:ascii="Arial" w:hAnsi="Arial" w:cs="Arial"/>
        </w:rPr>
        <w:t xml:space="preserve"> and A</w:t>
      </w:r>
      <w:r w:rsidRPr="00D01027">
        <w:rPr>
          <w:rFonts w:ascii="Arial" w:hAnsi="Arial" w:cs="Arial"/>
          <w:vertAlign w:val="subscript"/>
        </w:rPr>
        <w:t>H</w:t>
      </w:r>
      <w:r w:rsidRPr="00D01027">
        <w:rPr>
          <w:rFonts w:ascii="Arial" w:hAnsi="Arial" w:cs="Arial"/>
        </w:rPr>
        <w:t xml:space="preserve"> histologic classes.  The analysis was performed by limma package on R</w:t>
      </w:r>
      <w:r w:rsidRPr="00D01027">
        <w:rPr>
          <w:rFonts w:ascii="Arial" w:hAnsi="Arial" w:cs="Arial"/>
          <w:vertAlign w:val="superscript"/>
        </w:rPr>
        <w:fldChar w:fldCharType="begin"/>
      </w:r>
      <w:r w:rsidRPr="00D01027">
        <w:rPr>
          <w:rFonts w:ascii="Arial" w:hAnsi="Arial" w:cs="Arial"/>
          <w:vertAlign w:val="superscript"/>
        </w:rPr>
        <w:instrText xml:space="preserve"> ADDIN ZOTERO_ITEM CSL_CITATION {"citationID":"3UIxJYaY","properties":{"formattedCitation":"\\super 49,50\\nosupersub{}","plainCitation":"49,50","noteIndex":0},"citationItems":[{"id":2,"uris":["http://zotero.org/groups/4741747/items/BM3LKFPW"],"itemData":{"id":2,"type":"article-journal","container-title":"Nucleic Acids Research","DOI":"10.1093/nar/gkv007","ISSN":"1362-4962, 0305-1048","issue":"7","language":"en","page":"e47-e47","source":"DOI.org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K."}],"issued":{"date-parts":[["2015",4,20]]}}},{"id":1,"uris":["http://zotero.org/groups/4741747/items/Y7LZCVI9"],"itemData":{"id":1,"type":"article-journal","abstract":"The problem of identifying differentially expressed genes in designed microarray experiments is considered. Lonnstedt and Speed (2002) derived an expression for the posterior odds of differential expression in a replicated two-color experiment using a simple hierarchical parametric model. The purpose of this paper is to develop the hierarchical model of Lonnstedt and Speed (2002) into a practical approach for general microarray experiments with arbitrary numbers of treatments and RNA samples. The model is reset in the context of general linear models with arbitrary coefficients and contrasts of interest. The approach applies equally well to both single channel and two color microarray experiments. Consistent, closed form estimators are derived for the hyperparameters in the model. The estimators proposed have robust behavior even for small numbers of arrays and allow for incomplete data arising from spot filtering or spot quality weights. The posterior odds statistic is reformulated in terms of a moderated t-statistic in which posterior residual standard deviations are used in place of ordinary standard deviations. The empirical Bayes approach is equivalent to shrinkage of the estimated sample variances towards a pooled estimate, resulting in far more stable inference when the number of arrays is small. The use of moderated t-statistics has the advantage over the posterior odds that the number of hyperparameters which need to estimated is reduced; in particular, knowledge of the non-null prior for the fold changes are not required. The moderated t-statistic is shown to follow a t-distribution with augmented degrees of freedom. The moderated t inferential approach extends to accommodate tests of composite null hypotheses through the use of moderated F-statistics. The performance of the methods is demonstrated in a simulation study. Results are presented for two publicly available data sets.","container-title":"Statistical Applications in Genetics and Molecular Biology","DOI":"10.2202/1544-6115.1027","ISSN":"1544-6115","issue":"1","page":"1-25","source":"DOI.org (Crossref)","title":"Linear Models and Empirical Bayes Methods for Assessing Differential Expression in Microarray Experiments","volume":"3","author":[{"family":"Smyth","given":"Gordon K"}],"issued":{"date-parts":[["2004",1,12]]}}}],"schema":"https://github.com/citation-style-language/schema/raw/master/csl-citation.json"} </w:instrText>
      </w:r>
      <w:r w:rsidRPr="00D01027">
        <w:rPr>
          <w:rFonts w:ascii="Arial" w:hAnsi="Arial" w:cs="Arial"/>
          <w:vertAlign w:val="superscript"/>
        </w:rPr>
        <w:fldChar w:fldCharType="separate"/>
      </w:r>
      <w:r w:rsidR="00D01027">
        <w:rPr>
          <w:rFonts w:ascii="Arial" w:hAnsi="Arial" w:cs="Arial"/>
          <w:szCs w:val="24"/>
          <w:vertAlign w:val="superscript"/>
        </w:rPr>
        <w:t xml:space="preserve"> </w:t>
      </w:r>
      <w:r w:rsidR="00D01027">
        <w:rPr>
          <w:rFonts w:ascii="Arial" w:hAnsi="Arial" w:cs="Arial"/>
          <w:vertAlign w:val="superscript"/>
        </w:rPr>
        <w:t>3,4</w:t>
      </w:r>
      <w:r w:rsidRPr="00D01027">
        <w:rPr>
          <w:rFonts w:ascii="Arial" w:hAnsi="Arial" w:cs="Arial"/>
          <w:vertAlign w:val="superscript"/>
        </w:rPr>
        <w:fldChar w:fldCharType="end"/>
      </w:r>
      <w:r w:rsidRPr="00D01027">
        <w:rPr>
          <w:rFonts w:ascii="Arial" w:hAnsi="Arial" w:cs="Arial"/>
        </w:rPr>
        <w:t>.  The FDR-adjusted p value of each gene was computed by moderated t-statistics.  FDR adjustment was performed by Benjamini &amp; Hochberg method.  FDR-adjusted p &lt;0.05 is considered to be statistically significant.  Fold change of each gene was calculated by log-odds of differential expression by empirical Bayes moderation of the standard errors towards a common value.  The DSAST, ENDAT, ABMR-RAT and TCMR-RAT gene lists were retrieved from the website of “Alberta Transplant Applied Genomics Centre” (https://www.ualberta.ca/medicine/institutes-centres-groups/atagc/research/u219_core_pbts.xlsx)</w:t>
      </w:r>
    </w:p>
    <w:p w14:paraId="72E01559" w14:textId="77777777" w:rsidR="000B626F" w:rsidRPr="00D01027" w:rsidRDefault="000B626F" w:rsidP="00D01027">
      <w:pPr>
        <w:spacing w:line="480" w:lineRule="auto"/>
        <w:rPr>
          <w:rFonts w:ascii="Arial" w:hAnsi="Arial" w:cs="Arial"/>
        </w:rPr>
      </w:pPr>
    </w:p>
    <w:p w14:paraId="5BC53EB1" w14:textId="287E7F76" w:rsidR="003C51D0" w:rsidRPr="00D01027" w:rsidRDefault="000B626F" w:rsidP="00D01027">
      <w:pPr>
        <w:spacing w:line="480" w:lineRule="auto"/>
        <w:rPr>
          <w:rFonts w:ascii="Arial" w:eastAsia="Times New Roman" w:hAnsi="Arial" w:cs="Arial"/>
          <w:color w:val="000000"/>
          <w:lang w:bidi="ar-SA"/>
        </w:rPr>
      </w:pPr>
      <w:r w:rsidRPr="00D01027">
        <w:rPr>
          <w:rFonts w:ascii="Arial" w:hAnsi="Arial" w:cs="Arial"/>
        </w:rPr>
        <w:t>Data regarding patient demographics and sample age were tested for normality by the Shapiro test. For non-parametric data, the Wilcoxon Rank-Sum Test and the Wilcox Heteroscedastic One-Way ANOVA using the WRS2 package in R were used to compare medians between groups</w:t>
      </w:r>
      <w:r w:rsidR="00D01027">
        <w:rPr>
          <w:rFonts w:ascii="Arial" w:hAnsi="Arial" w:cs="Arial"/>
          <w:vertAlign w:val="superscript"/>
        </w:rPr>
        <w:t xml:space="preserve"> 5</w:t>
      </w:r>
      <w:r w:rsidRPr="00D01027">
        <w:rPr>
          <w:rFonts w:ascii="Arial" w:hAnsi="Arial" w:cs="Arial"/>
        </w:rPr>
        <w:t xml:space="preserve">.  </w:t>
      </w:r>
      <w:r w:rsidRPr="00D01027">
        <w:rPr>
          <w:rFonts w:ascii="Arial" w:eastAsia="Times New Roman" w:hAnsi="Arial" w:cs="Arial"/>
          <w:color w:val="000000"/>
          <w:lang w:bidi="ar-SA"/>
        </w:rPr>
        <w:t xml:space="preserve">The Cochran-Armitage Test for Trend was used to compare scores for each Banff lesion against two molecular classes using the </w:t>
      </w:r>
      <w:proofErr w:type="spellStart"/>
      <w:r w:rsidRPr="00D01027">
        <w:rPr>
          <w:rFonts w:ascii="Arial" w:eastAsia="Times New Roman" w:hAnsi="Arial" w:cs="Arial"/>
          <w:color w:val="000000"/>
          <w:lang w:bidi="ar-SA"/>
        </w:rPr>
        <w:t>rcompanion</w:t>
      </w:r>
      <w:proofErr w:type="spellEnd"/>
      <w:r w:rsidRPr="00D01027">
        <w:rPr>
          <w:rFonts w:ascii="Arial" w:eastAsia="Times New Roman" w:hAnsi="Arial" w:cs="Arial"/>
          <w:color w:val="000000"/>
          <w:lang w:bidi="ar-SA"/>
        </w:rPr>
        <w:t xml:space="preserve"> package in R.</w:t>
      </w:r>
    </w:p>
    <w:p w14:paraId="435F7573" w14:textId="77777777" w:rsidR="0094470B" w:rsidRPr="00D01027" w:rsidRDefault="0094470B" w:rsidP="00D01027">
      <w:pPr>
        <w:spacing w:line="480" w:lineRule="auto"/>
        <w:rPr>
          <w:rFonts w:ascii="Arial" w:eastAsia="Times New Roman" w:hAnsi="Arial" w:cs="Arial"/>
          <w:b/>
          <w:bCs/>
          <w:color w:val="000000"/>
          <w:lang w:bidi="ar-SA"/>
        </w:rPr>
      </w:pPr>
    </w:p>
    <w:p w14:paraId="432937E0" w14:textId="074192A6" w:rsidR="003C51D0" w:rsidRPr="00D01027" w:rsidRDefault="003C51D0" w:rsidP="00D01027">
      <w:pPr>
        <w:spacing w:line="480" w:lineRule="auto"/>
        <w:rPr>
          <w:rFonts w:ascii="Arial" w:eastAsia="Times New Roman" w:hAnsi="Arial" w:cs="Arial"/>
          <w:b/>
          <w:bCs/>
          <w:color w:val="000000"/>
          <w:lang w:bidi="ar-SA"/>
        </w:rPr>
      </w:pPr>
      <w:r w:rsidRPr="00D01027">
        <w:rPr>
          <w:rFonts w:ascii="Arial" w:eastAsia="Times New Roman" w:hAnsi="Arial" w:cs="Arial"/>
          <w:b/>
          <w:bCs/>
          <w:color w:val="000000"/>
          <w:lang w:bidi="ar-SA"/>
        </w:rPr>
        <w:t>References</w:t>
      </w:r>
      <w:r w:rsidR="001D0607">
        <w:rPr>
          <w:rFonts w:ascii="Arial" w:eastAsia="Times New Roman" w:hAnsi="Arial" w:cs="Arial"/>
          <w:b/>
          <w:bCs/>
          <w:color w:val="000000"/>
          <w:lang w:bidi="ar-SA"/>
        </w:rPr>
        <w:t xml:space="preserve"> in Supplementary Methods</w:t>
      </w:r>
    </w:p>
    <w:p w14:paraId="2693C5D6" w14:textId="4BB7156F" w:rsidR="003C51D0" w:rsidRPr="00D01027" w:rsidRDefault="008A1514" w:rsidP="00D01027">
      <w:pPr>
        <w:pStyle w:val="Bibliography"/>
        <w:spacing w:line="480" w:lineRule="auto"/>
        <w:ind w:left="360" w:hanging="360"/>
        <w:rPr>
          <w:rFonts w:ascii="Arial" w:hAnsi="Arial" w:cs="Arial"/>
        </w:rPr>
      </w:pPr>
      <w:r w:rsidRPr="00D01027">
        <w:rPr>
          <w:rFonts w:ascii="Arial" w:hAnsi="Arial" w:cs="Arial"/>
        </w:rPr>
        <w:t>1</w:t>
      </w:r>
      <w:r w:rsidR="0094470B" w:rsidRPr="00D01027">
        <w:rPr>
          <w:rFonts w:ascii="Arial" w:hAnsi="Arial" w:cs="Arial"/>
        </w:rPr>
        <w:t xml:space="preserve">   </w:t>
      </w:r>
      <w:r w:rsidRPr="00D01027">
        <w:rPr>
          <w:rFonts w:ascii="Arial" w:hAnsi="Arial" w:cs="Arial"/>
        </w:rPr>
        <w:t xml:space="preserve">Halloran PF, </w:t>
      </w:r>
      <w:proofErr w:type="spellStart"/>
      <w:r w:rsidRPr="00D01027">
        <w:rPr>
          <w:rFonts w:ascii="Arial" w:hAnsi="Arial" w:cs="Arial"/>
        </w:rPr>
        <w:t>Venner</w:t>
      </w:r>
      <w:proofErr w:type="spellEnd"/>
      <w:r w:rsidRPr="00D01027">
        <w:rPr>
          <w:rFonts w:ascii="Arial" w:hAnsi="Arial" w:cs="Arial"/>
        </w:rPr>
        <w:t xml:space="preserve"> JM, </w:t>
      </w:r>
      <w:proofErr w:type="spellStart"/>
      <w:r w:rsidRPr="00D01027">
        <w:rPr>
          <w:rFonts w:ascii="Arial" w:hAnsi="Arial" w:cs="Arial"/>
        </w:rPr>
        <w:t>Famulski</w:t>
      </w:r>
      <w:proofErr w:type="spellEnd"/>
      <w:r w:rsidRPr="00D01027">
        <w:rPr>
          <w:rFonts w:ascii="Arial" w:hAnsi="Arial" w:cs="Arial"/>
        </w:rPr>
        <w:t xml:space="preserve"> KS. Comprehensive Analysis of Transcript Changes Associated With Allograft Rejection: Combining Universal and Selective Features. </w:t>
      </w:r>
      <w:r w:rsidRPr="00D01027">
        <w:rPr>
          <w:rFonts w:ascii="Arial" w:hAnsi="Arial" w:cs="Arial"/>
          <w:i/>
          <w:iCs/>
        </w:rPr>
        <w:t>Am J Transplant</w:t>
      </w:r>
      <w:r w:rsidRPr="00D01027">
        <w:rPr>
          <w:rFonts w:ascii="Arial" w:hAnsi="Arial" w:cs="Arial"/>
        </w:rPr>
        <w:t>. 2017;17(7):1754-1769.</w:t>
      </w:r>
    </w:p>
    <w:p w14:paraId="225AA0DF" w14:textId="31D1FAFF" w:rsidR="008A1514" w:rsidRPr="00D01027" w:rsidRDefault="008A1514" w:rsidP="00D01027">
      <w:pPr>
        <w:pStyle w:val="Bibliography"/>
        <w:spacing w:line="480" w:lineRule="auto"/>
        <w:ind w:left="360" w:hanging="360"/>
        <w:rPr>
          <w:rFonts w:ascii="Arial" w:hAnsi="Arial" w:cs="Arial"/>
        </w:rPr>
      </w:pPr>
      <w:r w:rsidRPr="00D01027">
        <w:rPr>
          <w:rFonts w:ascii="Arial" w:hAnsi="Arial" w:cs="Arial"/>
        </w:rPr>
        <w:t>2</w:t>
      </w:r>
      <w:r w:rsidR="0094470B" w:rsidRPr="00D01027">
        <w:rPr>
          <w:rFonts w:ascii="Arial" w:hAnsi="Arial" w:cs="Arial"/>
        </w:rPr>
        <w:t xml:space="preserve">   </w:t>
      </w:r>
      <w:r w:rsidRPr="00D01027">
        <w:rPr>
          <w:rFonts w:ascii="Arial" w:hAnsi="Arial" w:cs="Arial"/>
        </w:rPr>
        <w:t xml:space="preserve">Halloran PF, Chang J, </w:t>
      </w:r>
      <w:proofErr w:type="spellStart"/>
      <w:r w:rsidRPr="00D01027">
        <w:rPr>
          <w:rFonts w:ascii="Arial" w:hAnsi="Arial" w:cs="Arial"/>
        </w:rPr>
        <w:t>Famulski</w:t>
      </w:r>
      <w:proofErr w:type="spellEnd"/>
      <w:r w:rsidRPr="00D01027">
        <w:rPr>
          <w:rFonts w:ascii="Arial" w:hAnsi="Arial" w:cs="Arial"/>
        </w:rPr>
        <w:t xml:space="preserve"> K, et al. Disappearance of T Cell-Mediated Rejection Despite Continued Antibody-Mediated Rejection in Late Kidney Transplant Recipients. </w:t>
      </w:r>
      <w:r w:rsidRPr="00D01027">
        <w:rPr>
          <w:rFonts w:ascii="Arial" w:hAnsi="Arial" w:cs="Arial"/>
          <w:i/>
          <w:iCs/>
        </w:rPr>
        <w:t>J Am Soc Nephrol</w:t>
      </w:r>
      <w:r w:rsidRPr="00D01027">
        <w:rPr>
          <w:rFonts w:ascii="Arial" w:hAnsi="Arial" w:cs="Arial"/>
        </w:rPr>
        <w:t>. 2015;26(7):1711-1720.</w:t>
      </w:r>
    </w:p>
    <w:p w14:paraId="7B193A6F" w14:textId="248A0329" w:rsidR="008A1514" w:rsidRPr="00D01027" w:rsidRDefault="0094470B" w:rsidP="00D01027">
      <w:pPr>
        <w:pStyle w:val="Bibliography"/>
        <w:spacing w:line="480" w:lineRule="auto"/>
        <w:ind w:left="360" w:hanging="360"/>
        <w:rPr>
          <w:rFonts w:ascii="Arial" w:hAnsi="Arial" w:cs="Arial"/>
        </w:rPr>
      </w:pPr>
      <w:r w:rsidRPr="00D01027">
        <w:rPr>
          <w:rFonts w:ascii="Arial" w:hAnsi="Arial" w:cs="Arial"/>
        </w:rPr>
        <w:lastRenderedPageBreak/>
        <w:t xml:space="preserve">3   </w:t>
      </w:r>
      <w:r w:rsidR="008A1514" w:rsidRPr="00D01027">
        <w:rPr>
          <w:rFonts w:ascii="Arial" w:hAnsi="Arial" w:cs="Arial"/>
        </w:rPr>
        <w:t xml:space="preserve">Ritchie ME, </w:t>
      </w:r>
      <w:proofErr w:type="spellStart"/>
      <w:r w:rsidR="008A1514" w:rsidRPr="00D01027">
        <w:rPr>
          <w:rFonts w:ascii="Arial" w:hAnsi="Arial" w:cs="Arial"/>
        </w:rPr>
        <w:t>Phipson</w:t>
      </w:r>
      <w:proofErr w:type="spellEnd"/>
      <w:r w:rsidR="008A1514" w:rsidRPr="00D01027">
        <w:rPr>
          <w:rFonts w:ascii="Arial" w:hAnsi="Arial" w:cs="Arial"/>
        </w:rPr>
        <w:t xml:space="preserve"> B, Wu D, et al. </w:t>
      </w:r>
      <w:proofErr w:type="spellStart"/>
      <w:r w:rsidR="008A1514" w:rsidRPr="00D01027">
        <w:rPr>
          <w:rFonts w:ascii="Arial" w:hAnsi="Arial" w:cs="Arial"/>
        </w:rPr>
        <w:t>limma</w:t>
      </w:r>
      <w:proofErr w:type="spellEnd"/>
      <w:r w:rsidR="008A1514" w:rsidRPr="00D01027">
        <w:rPr>
          <w:rFonts w:ascii="Arial" w:hAnsi="Arial" w:cs="Arial"/>
        </w:rPr>
        <w:t xml:space="preserve"> powers differential expression analyses for RNA-sequencing and microarray studies. </w:t>
      </w:r>
      <w:r w:rsidR="008A1514" w:rsidRPr="00D01027">
        <w:rPr>
          <w:rFonts w:ascii="Arial" w:hAnsi="Arial" w:cs="Arial"/>
          <w:i/>
          <w:iCs/>
        </w:rPr>
        <w:t>Nucleic Acids Res</w:t>
      </w:r>
      <w:r w:rsidR="008A1514" w:rsidRPr="00D01027">
        <w:rPr>
          <w:rFonts w:ascii="Arial" w:hAnsi="Arial" w:cs="Arial"/>
        </w:rPr>
        <w:t>. 2015;43(7):e47-e47.</w:t>
      </w:r>
    </w:p>
    <w:p w14:paraId="08FCF078" w14:textId="69116A10" w:rsidR="008A1514" w:rsidRPr="00D01027" w:rsidRDefault="0094470B" w:rsidP="00D01027">
      <w:pPr>
        <w:pStyle w:val="Bibliography"/>
        <w:spacing w:line="480" w:lineRule="auto"/>
        <w:ind w:left="360" w:hanging="360"/>
        <w:rPr>
          <w:rFonts w:ascii="Arial" w:hAnsi="Arial" w:cs="Arial"/>
        </w:rPr>
      </w:pPr>
      <w:r w:rsidRPr="00D01027">
        <w:rPr>
          <w:rFonts w:ascii="Arial" w:hAnsi="Arial" w:cs="Arial"/>
        </w:rPr>
        <w:t xml:space="preserve">4   </w:t>
      </w:r>
      <w:r w:rsidR="008A1514" w:rsidRPr="00D01027">
        <w:rPr>
          <w:rFonts w:ascii="Arial" w:hAnsi="Arial" w:cs="Arial"/>
        </w:rPr>
        <w:t xml:space="preserve">Smyth GK. Linear Models and Empirical Bayes Methods for Assessing Differential Expression in Microarray Experiments. </w:t>
      </w:r>
      <w:r w:rsidR="008A1514" w:rsidRPr="00D01027">
        <w:rPr>
          <w:rFonts w:ascii="Arial" w:hAnsi="Arial" w:cs="Arial"/>
          <w:i/>
          <w:iCs/>
        </w:rPr>
        <w:t>Stat Appl Genet Mol Biol</w:t>
      </w:r>
      <w:r w:rsidR="008A1514" w:rsidRPr="00D01027">
        <w:rPr>
          <w:rFonts w:ascii="Arial" w:hAnsi="Arial" w:cs="Arial"/>
        </w:rPr>
        <w:t>. 2004;3(1):1-25.</w:t>
      </w:r>
    </w:p>
    <w:p w14:paraId="30A5970B" w14:textId="2628509D" w:rsidR="008A1514" w:rsidRPr="00D01027" w:rsidRDefault="008A1514" w:rsidP="00D01027">
      <w:pPr>
        <w:pStyle w:val="Bibliography"/>
        <w:spacing w:line="480" w:lineRule="auto"/>
        <w:ind w:left="360" w:hanging="360"/>
        <w:rPr>
          <w:rFonts w:ascii="Arial" w:hAnsi="Arial" w:cs="Arial"/>
        </w:rPr>
      </w:pPr>
      <w:r w:rsidRPr="00D01027">
        <w:rPr>
          <w:rFonts w:ascii="Arial" w:hAnsi="Arial" w:cs="Arial"/>
        </w:rPr>
        <w:t>5</w:t>
      </w:r>
      <w:r w:rsidR="0094470B" w:rsidRPr="00D01027">
        <w:rPr>
          <w:rFonts w:ascii="Arial" w:hAnsi="Arial" w:cs="Arial"/>
        </w:rPr>
        <w:t xml:space="preserve">   </w:t>
      </w:r>
      <w:r w:rsidRPr="00D01027">
        <w:rPr>
          <w:rFonts w:ascii="Arial" w:hAnsi="Arial" w:cs="Arial"/>
        </w:rPr>
        <w:t>Mair P, Wilcox R, Patil I. WRS2: A Collection of Robust Statistical Methods. Published online 2021. https://CRAN.R-project.org/package=WRS2</w:t>
      </w:r>
    </w:p>
    <w:sectPr w:rsidR="008A1514" w:rsidRPr="00D01027" w:rsidSect="00676CB9">
      <w:footerReference w:type="default" r:id="rId6"/>
      <w:pgSz w:w="11894" w:h="16819"/>
      <w:pgMar w:top="720" w:right="720" w:bottom="720" w:left="72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3F71" w14:textId="77777777" w:rsidR="00F309A7" w:rsidRDefault="00F309A7">
      <w:r>
        <w:separator/>
      </w:r>
    </w:p>
  </w:endnote>
  <w:endnote w:type="continuationSeparator" w:id="0">
    <w:p w14:paraId="4EDEC24C" w14:textId="77777777" w:rsidR="00F309A7" w:rsidRDefault="00F30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4187998"/>
      <w:docPartObj>
        <w:docPartGallery w:val="Page Numbers (Bottom of Page)"/>
        <w:docPartUnique/>
      </w:docPartObj>
    </w:sdtPr>
    <w:sdtEndPr>
      <w:rPr>
        <w:noProof/>
      </w:rPr>
    </w:sdtEndPr>
    <w:sdtContent>
      <w:p w14:paraId="27D14123" w14:textId="4659A0DE" w:rsidR="002F676C" w:rsidRDefault="000B626F">
        <w:pPr>
          <w:pStyle w:val="Footer"/>
          <w:jc w:val="center"/>
        </w:pPr>
        <w:r>
          <w:fldChar w:fldCharType="begin"/>
        </w:r>
        <w:r>
          <w:instrText xml:space="preserve"> PAGE   \* MERGEFORMAT </w:instrText>
        </w:r>
        <w:r>
          <w:fldChar w:fldCharType="separate"/>
        </w:r>
        <w:r w:rsidR="00BC03F2">
          <w:rPr>
            <w:noProof/>
          </w:rPr>
          <w:t>2</w:t>
        </w:r>
        <w:r>
          <w:rPr>
            <w:noProof/>
          </w:rPr>
          <w:fldChar w:fldCharType="end"/>
        </w:r>
      </w:p>
    </w:sdtContent>
  </w:sdt>
  <w:p w14:paraId="21BCACCA" w14:textId="77777777" w:rsidR="002F676C" w:rsidRDefault="00F309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F753B" w14:textId="77777777" w:rsidR="00F309A7" w:rsidRDefault="00F309A7">
      <w:r>
        <w:separator/>
      </w:r>
    </w:p>
  </w:footnote>
  <w:footnote w:type="continuationSeparator" w:id="0">
    <w:p w14:paraId="32F3F291" w14:textId="77777777" w:rsidR="00F309A7" w:rsidRDefault="00F309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26F"/>
    <w:rsid w:val="000042D7"/>
    <w:rsid w:val="000B626F"/>
    <w:rsid w:val="001D0607"/>
    <w:rsid w:val="001D300A"/>
    <w:rsid w:val="00267188"/>
    <w:rsid w:val="0032499F"/>
    <w:rsid w:val="003711CB"/>
    <w:rsid w:val="003C51D0"/>
    <w:rsid w:val="0052075C"/>
    <w:rsid w:val="00676CB9"/>
    <w:rsid w:val="008A1514"/>
    <w:rsid w:val="0094470B"/>
    <w:rsid w:val="00B214B3"/>
    <w:rsid w:val="00B23E24"/>
    <w:rsid w:val="00B25A71"/>
    <w:rsid w:val="00BC03F2"/>
    <w:rsid w:val="00BC6799"/>
    <w:rsid w:val="00BE483B"/>
    <w:rsid w:val="00C66243"/>
    <w:rsid w:val="00C750F9"/>
    <w:rsid w:val="00D01027"/>
    <w:rsid w:val="00E6131D"/>
    <w:rsid w:val="00EB49B1"/>
    <w:rsid w:val="00F309A7"/>
    <w:rsid w:val="00F32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1E4A6"/>
  <w15:chartTrackingRefBased/>
  <w15:docId w15:val="{D912DAC7-1F20-4FB8-AE33-5EE85F781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26F"/>
    <w:pPr>
      <w:widowControl w:val="0"/>
      <w:autoSpaceDE w:val="0"/>
      <w:autoSpaceDN w:val="0"/>
      <w:spacing w:after="0" w:line="240" w:lineRule="auto"/>
    </w:pPr>
    <w:rPr>
      <w:rFonts w:ascii="Calibri" w:eastAsia="Calibri" w:hAnsi="Calibri" w:cs="Calibri"/>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B626F"/>
  </w:style>
  <w:style w:type="character" w:customStyle="1" w:styleId="BodyTextChar">
    <w:name w:val="Body Text Char"/>
    <w:basedOn w:val="DefaultParagraphFont"/>
    <w:link w:val="BodyText"/>
    <w:uiPriority w:val="1"/>
    <w:rsid w:val="000B626F"/>
    <w:rPr>
      <w:rFonts w:ascii="Calibri" w:eastAsia="Calibri" w:hAnsi="Calibri" w:cs="Calibri"/>
      <w:lang w:eastAsia="en-US" w:bidi="en-US"/>
    </w:rPr>
  </w:style>
  <w:style w:type="paragraph" w:styleId="Footer">
    <w:name w:val="footer"/>
    <w:basedOn w:val="Normal"/>
    <w:link w:val="FooterChar"/>
    <w:uiPriority w:val="99"/>
    <w:unhideWhenUsed/>
    <w:rsid w:val="000B626F"/>
    <w:pPr>
      <w:tabs>
        <w:tab w:val="center" w:pos="4680"/>
        <w:tab w:val="right" w:pos="9360"/>
      </w:tabs>
    </w:pPr>
  </w:style>
  <w:style w:type="character" w:customStyle="1" w:styleId="FooterChar">
    <w:name w:val="Footer Char"/>
    <w:basedOn w:val="DefaultParagraphFont"/>
    <w:link w:val="Footer"/>
    <w:uiPriority w:val="99"/>
    <w:rsid w:val="000B626F"/>
    <w:rPr>
      <w:rFonts w:ascii="Calibri" w:eastAsia="Calibri" w:hAnsi="Calibri" w:cs="Calibri"/>
      <w:lang w:eastAsia="en-US" w:bidi="en-US"/>
    </w:rPr>
  </w:style>
  <w:style w:type="character" w:styleId="LineNumber">
    <w:name w:val="line number"/>
    <w:basedOn w:val="DefaultParagraphFont"/>
    <w:uiPriority w:val="99"/>
    <w:semiHidden/>
    <w:unhideWhenUsed/>
    <w:rsid w:val="000B626F"/>
  </w:style>
  <w:style w:type="paragraph" w:styleId="Bibliography">
    <w:name w:val="Bibliography"/>
    <w:basedOn w:val="Normal"/>
    <w:next w:val="Normal"/>
    <w:uiPriority w:val="37"/>
    <w:unhideWhenUsed/>
    <w:rsid w:val="008A1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Zhang</dc:creator>
  <cp:keywords/>
  <dc:description/>
  <cp:lastModifiedBy>Shana Coley</cp:lastModifiedBy>
  <cp:revision>5</cp:revision>
  <dcterms:created xsi:type="dcterms:W3CDTF">2024-01-07T01:31:00Z</dcterms:created>
  <dcterms:modified xsi:type="dcterms:W3CDTF">2024-01-07T01:41:00Z</dcterms:modified>
</cp:coreProperties>
</file>