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Differential Methylation Analysis Methods</w:t>
      </w:r>
    </w:p>
    <w:p>
      <w:pPr>
        <w:spacing w:before="200" w:after="400"/>
        <w:jc w:val="center"/>
      </w:pPr>
      <w:r>
        <w:rPr>
          <w:color w:val="666666"/>
          <w:sz w:val="28"/>
          <w:szCs w:val="28"/>
        </w:rPr>
        <w:t xml:space="preserve">A Comprehensive Technical Report</w:t>
      </w:r>
    </w:p>
    <w:p>
      <w:pPr>
        <w:spacing w:before="600"/>
        <w:jc w:val="center"/>
      </w:pPr>
      <w:r>
        <w:rPr>
          <w:sz w:val="24"/>
          <w:szCs w:val="24"/>
        </w:rPr>
        <w:t xml:space="preserve">December 2025</w:t>
      </w:r>
    </w:p>
    <w:p>
      <w:r>
        <w:br w:type="page"/>
      </w:r>
    </w:p>
    <w:p>
      <w:pPr>
        <w:pStyle w:val="Heading1"/>
      </w:pPr>
      <w:r>
        <w:t xml:space="preserve">Executive Summary</w:t>
      </w:r>
    </w:p>
    <w:p>
      <w:pPr>
        <w:spacing w:after="200"/>
      </w:pPr>
      <w:r>
        <w:t xml:space="preserve">This report provides a comprehensive overview of computational methods for differential methylation analysis across three major DNA methylation profiling platforms: enrichment-based sequencing (MeDIP-seq/cfMeDIP-seq), bisulfite sequencing (WGBS/RRBS), and methylation arrays (Illumina 450K/EPIC).</w:t>
      </w:r>
    </w:p>
    <w:p>
      <w:pPr>
        <w:spacing w:after="200"/>
      </w:pPr>
      <w:r>
        <w:t xml:space="preserve">The report is organized into three parts:</w:t>
      </w:r>
    </w:p>
    <w:p>
      <w:pPr>
        <w:pStyle w:val="ListParagraph"/>
        <w:numPr>
          <w:ilvl w:val="0"/>
          <w:numId w:val="2"/>
        </w:numPr>
      </w:pPr>
      <w:r>
        <w:rPr>
          <w:b/>
          <w:bCs/>
        </w:rPr>
        <w:t xml:space="preserve">Part I: </w:t>
      </w:r>
      <w:r>
        <w:t xml:space="preserve">A detailed catalog of analytical methods with publication highlights</w:t>
      </w:r>
    </w:p>
    <w:p>
      <w:pPr>
        <w:pStyle w:val="ListParagraph"/>
        <w:numPr>
          <w:ilvl w:val="0"/>
          <w:numId w:val="2"/>
        </w:numPr>
      </w:pPr>
      <w:r>
        <w:rPr>
          <w:b/>
          <w:bCs/>
        </w:rPr>
        <w:t xml:space="preserve">Part II: </w:t>
      </w:r>
      <w:r>
        <w:t xml:space="preserve">An examination of the input data structures that distinguish each platform</w:t>
      </w:r>
    </w:p>
    <w:p>
      <w:pPr>
        <w:pStyle w:val="ListParagraph"/>
        <w:numPr>
          <w:ilvl w:val="0"/>
          <w:numId w:val="2"/>
        </w:numPr>
      </w:pPr>
      <w:r>
        <w:rPr>
          <w:b/>
          <w:bCs/>
        </w:rPr>
        <w:t xml:space="preserve">Part III: </w:t>
      </w:r>
      <w:r>
        <w:t xml:space="preserve">A review of benchmark studies that have evaluated method performance</w:t>
      </w:r>
    </w:p>
    <w:p>
      <w:r>
        <w:br w:type="page"/>
      </w:r>
    </w:p>
    <w:p>
      <w:pPr>
        <w:pStyle w:val="Heading1"/>
      </w:pPr>
      <w:r>
        <w:t xml:space="preserve">PART I: Differential Methylation Analysis Methods</w:t>
      </w:r>
    </w:p>
    <w:p>
      <w:pPr>
        <w:pStyle w:val="Heading2"/>
      </w:pPr>
      <w:r>
        <w:t xml:space="preserve">1. Enrichment-Based Methods (MeDIP-seq / cfMeDIP-seq)</w:t>
      </w:r>
    </w:p>
    <w:p>
      <w:pPr>
        <w:spacing w:after="200"/>
      </w:pPr>
      <w:r>
        <w:t xml:space="preserve">Enrichment-based methods use antibody-mediated immunoprecipitation to capture methylated DNA fragments. These methods require specialized algorithms to convert enrichment signals into absolute methylation estimates.</w:t>
      </w:r>
    </w:p>
    <w:p>
      <w:pPr>
        <w:pStyle w:val="Heading3"/>
      </w:pPr>
      <w:r>
        <w:t xml:space="preserve">1.1 Batman (Bayesian Tool for Methylation Analysis)</w:t>
      </w:r>
    </w:p>
    <w:p>
      <w:pPr>
        <w:spacing w:after="100"/>
      </w:pPr>
      <w:r>
        <w:rPr>
          <w:b/>
          <w:bCs/>
        </w:rPr>
        <w:t xml:space="preserve">Publication: </w:t>
      </w:r>
      <w:r>
        <w:rPr>
          <w:i/>
          <w:iCs/>
        </w:rPr>
        <w:t xml:space="preserve">Down TA et al. Nature Biotechnology 2008;26(7):779-785</w:t>
      </w:r>
    </w:p>
    <w:p>
      <w:pPr>
        <w:spacing w:after="100"/>
      </w:pPr>
      <w:r>
        <w:t xml:space="preserve">First cross-platform algorithm developed to estimate absolute DNA methylation levels from MeDIP profiles. Uses a Bayesian deconvolution strategy to account for CpG density effects on immunoprecipitation enrichment. The algorithm assumes the MeDIP signal scales linearly with the number of methylated CpG sites in a sequence.</w:t>
      </w:r>
    </w:p>
    <w:p>
      <w:pPr>
        <w:spacing w:after="100"/>
      </w:pPr>
      <w:r>
        <w:rPr>
          <w:b/>
          <w:bCs/>
        </w:rPr>
        <w:t xml:space="preserve">Statistical Model: </w:t>
      </w:r>
      <w:r>
        <w:t xml:space="preserve">Uses nested sampling to infer the distribution of likely methylation states based on CpG coupling factors.</w:t>
      </w:r>
    </w:p>
    <w:p>
      <w:pPr>
        <w:spacing w:after="200"/>
      </w:pPr>
      <w:r>
        <w:rPr>
          <w:b/>
          <w:bCs/>
        </w:rPr>
        <w:t xml:space="preserve">Limitations: </w:t>
      </w:r>
      <w:r>
        <w:t xml:space="preserve">Computationally intensive (can take several days to weeks per chromosome).</w:t>
      </w:r>
    </w:p>
    <w:p>
      <w:pPr>
        <w:pStyle w:val="Heading3"/>
      </w:pPr>
      <w:r>
        <w:t xml:space="preserve">1.2 MEDIPS</w:t>
      </w:r>
    </w:p>
    <w:p>
      <w:pPr>
        <w:spacing w:after="100"/>
      </w:pPr>
      <w:r>
        <w:rPr>
          <w:b/>
          <w:bCs/>
        </w:rPr>
        <w:t xml:space="preserve">Publication: </w:t>
      </w:r>
      <w:r>
        <w:rPr>
          <w:i/>
          <w:iCs/>
        </w:rPr>
        <w:t xml:space="preserve">Lienhard M et al. Bioinformatics 2014;30(2):284-286</w:t>
      </w:r>
    </w:p>
    <w:p>
      <w:pPr>
        <w:spacing w:after="100"/>
      </w:pPr>
      <w:r>
        <w:t xml:space="preserve">R/Bioconductor package implementing linear regression to model the relationship between read density and methylation level. Provides MeDIP-seq-specific QC metrics including saturation analysis, CpG enrichment factor calculation, and reproducibility assessment.</w:t>
      </w:r>
    </w:p>
    <w:p>
      <w:pPr>
        <w:spacing w:after="200"/>
      </w:pPr>
      <w:r>
        <w:rPr>
          <w:b/>
          <w:bCs/>
        </w:rPr>
        <w:t xml:space="preserve">Limitation: </w:t>
      </w:r>
      <w:r>
        <w:t xml:space="preserve">Original DMR calling requires input (non-IP) sample, doubling sequencing costs.</w:t>
      </w:r>
    </w:p>
    <w:p>
      <w:pPr>
        <w:pStyle w:val="Heading3"/>
      </w:pPr>
      <w:r>
        <w:t xml:space="preserve">1.3 QSEA (Quantitative Sequence Enrichment Analysis)</w:t>
      </w:r>
    </w:p>
    <w:p>
      <w:pPr>
        <w:spacing w:after="100"/>
      </w:pPr>
      <w:r>
        <w:rPr>
          <w:b/>
          <w:bCs/>
        </w:rPr>
        <w:t xml:space="preserve">Publication: </w:t>
      </w:r>
      <w:r>
        <w:rPr>
          <w:i/>
          <w:iCs/>
        </w:rPr>
        <w:t xml:space="preserve">Lienhard M et al. Nucleic Acids Research 2017;45(6):e44</w:t>
      </w:r>
    </w:p>
    <w:p>
      <w:pPr>
        <w:spacing w:after="100"/>
      </w:pPr>
      <w:r>
        <w:t xml:space="preserve">Introduces a Bayesian statistical model using a sigmoidal function (rather than linear) to transform enrichment read counts to absolute methylation levels. Better captures saturation effects at high CpG density regions.</w:t>
      </w:r>
    </w:p>
    <w:p>
      <w:pPr>
        <w:spacing w:after="200"/>
      </w:pPr>
      <w:r>
        <w:rPr>
          <w:b/>
          <w:bCs/>
        </w:rPr>
        <w:t xml:space="preserve">Key Innovation: </w:t>
      </w:r>
      <w:r>
        <w:t xml:space="preserve">Can work without bisulfite sequencing calibration data by leveraging assumptions about CpG island methylation patterns.</w:t>
      </w:r>
    </w:p>
    <w:p>
      <w:pPr>
        <w:pStyle w:val="Heading3"/>
      </w:pPr>
      <w:r>
        <w:t xml:space="preserve">1.4 MeDEStrand</w:t>
      </w:r>
    </w:p>
    <w:p>
      <w:pPr>
        <w:spacing w:after="100"/>
      </w:pPr>
      <w:r>
        <w:rPr>
          <w:b/>
          <w:bCs/>
        </w:rPr>
        <w:t xml:space="preserve">Publication: </w:t>
      </w:r>
      <w:r>
        <w:rPr>
          <w:i/>
          <w:iCs/>
        </w:rPr>
        <w:t xml:space="preserve">Xu J et al. BMC Bioinformatics 2018;19:540</w:t>
      </w:r>
    </w:p>
    <w:p>
      <w:pPr>
        <w:spacing w:after="200"/>
      </w:pPr>
      <w:r>
        <w:t xml:space="preserve">Processes reads for positive and negative DNA strands separately using logistic regression (sigmoid function). Demonstrated superior performance at high resolution (25, 50, 100 bp bins) compared to MEDIPS, BayMeth, and QSEA.</w:t>
      </w:r>
    </w:p>
    <w:p>
      <w:pPr>
        <w:pStyle w:val="Heading3"/>
      </w:pPr>
      <w:r>
        <w:t xml:space="preserve">1.5 MEDIPIPE</w:t>
      </w:r>
    </w:p>
    <w:p>
      <w:pPr>
        <w:spacing w:after="100"/>
      </w:pPr>
      <w:r>
        <w:rPr>
          <w:b/>
          <w:bCs/>
        </w:rPr>
        <w:t xml:space="preserve">Publication: </w:t>
      </w:r>
      <w:r>
        <w:rPr>
          <w:i/>
          <w:iCs/>
        </w:rPr>
        <w:t xml:space="preserve">Zeng Y et al. Bioinformatics 2023;39(7):btad423</w:t>
      </w:r>
    </w:p>
    <w:p>
      <w:pPr>
        <w:spacing w:after="200"/>
      </w:pPr>
      <w:r>
        <w:t xml:space="preserve">Automated end-to-end Snakemake pipeline for cfMeDIP-seq data. Integrates three methylation quantification methods (MEDIPS, QSEA, MEDStrand) with comprehensive QC framework. Available at github.com/pughlab/MEDIPIPE.</w:t>
      </w:r>
    </w:p>
    <w:p>
      <w:pPr>
        <w:pStyle w:val="Heading3"/>
      </w:pPr>
      <w:r>
        <w:t xml:space="preserve">1.6 GLMnet-Based Classification</w:t>
      </w:r>
    </w:p>
    <w:p>
      <w:pPr>
        <w:spacing w:after="100"/>
      </w:pPr>
      <w:r>
        <w:rPr>
          <w:b/>
          <w:bCs/>
        </w:rPr>
        <w:t xml:space="preserve">Publication: </w:t>
      </w:r>
      <w:r>
        <w:rPr>
          <w:i/>
          <w:iCs/>
        </w:rPr>
        <w:t xml:space="preserve">Shen SY et al. Nature 2018;563(7732):579-583</w:t>
      </w:r>
    </w:p>
    <w:p>
      <w:pPr>
        <w:spacing w:after="200"/>
      </w:pPr>
      <w:r>
        <w:t xml:space="preserve">Foundational approach for cfMeDIP-seq cancer classification. Data reduced to 300 bp windows mapping to CpG islands/shores/shelves and FANTOM5 enhancers; classifier built using top 1,000 most variable fragments. ML models available on Zenodo.</w:t>
      </w:r>
    </w:p>
    <w:p>
      <w:pPr>
        <w:pStyle w:val="Heading3"/>
      </w:pPr>
      <w:r>
        <w:t xml:space="preserve">1.7 Alternative Classification Approaches</w:t>
      </w:r>
    </w:p>
    <w:p>
      <w:pPr>
        <w:spacing w:after="100"/>
      </w:pPr>
      <w:r>
        <w:rPr>
          <w:b/>
          <w:bCs/>
        </w:rPr>
        <w:t xml:space="preserve">Publication: </w:t>
      </w:r>
      <w:r>
        <w:rPr>
          <w:i/>
          <w:iCs/>
        </w:rPr>
        <w:t xml:space="preserve">Halla-aho V &amp; Lähdesmäki H. BMC Bioinformatics 2022;23:138</w:t>
      </w:r>
    </w:p>
    <w:p>
      <w:pPr>
        <w:spacing w:after="200"/>
      </w:pPr>
      <w:r>
        <w:t xml:space="preserve">Comprehensive comparison finding Fisher's exact test and ISPCA robust for feature selection; simple logistic regression with hyper/hypo-methylated region counts performed well for classification.</w:t>
      </w:r>
    </w:p>
    <w:p>
      <w:pPr>
        <w:pStyle w:val="Heading2"/>
      </w:pPr>
      <w:r>
        <w:t xml:space="preserve">2. Bisulfite Sequencing Methods (WGBS / RRBS)</w:t>
      </w:r>
    </w:p>
    <w:p>
      <w:pPr>
        <w:spacing w:after="200"/>
      </w:pPr>
      <w:r>
        <w:t xml:space="preserve">Bisulfite sequencing provides single-nucleotide resolution methylation data. Methods must account for the binomial/beta-binomial nature of the count data.</w:t>
      </w:r>
    </w:p>
    <w:p>
      <w:pPr>
        <w:pStyle w:val="Heading3"/>
      </w:pPr>
      <w:r>
        <w:t xml:space="preserve">2.1 DSS (Dispersion Shrinkage for Sequencing)</w:t>
      </w:r>
    </w:p>
    <w:p>
      <w:pPr>
        <w:spacing w:after="100"/>
      </w:pPr>
      <w:r>
        <w:rPr>
          <w:b/>
          <w:bCs/>
        </w:rPr>
        <w:t xml:space="preserve">Publication: </w:t>
      </w:r>
      <w:r>
        <w:rPr>
          <w:i/>
          <w:iCs/>
        </w:rPr>
        <w:t xml:space="preserve">Feng H et al. Nucleic Acids Research 2014;42(8):e69</w:t>
      </w:r>
    </w:p>
    <w:p>
      <w:pPr>
        <w:spacing w:after="200"/>
      </w:pPr>
      <w:r>
        <w:t xml:space="preserve">Uses beta-binomial distribution with empirical Bayes dispersion shrinkage across all CpG sites. DSS-general (2016) extension supports complex experimental designs with multiple groups and covariates using arcsine link function (50x faster).</w:t>
      </w:r>
    </w:p>
    <w:p>
      <w:pPr>
        <w:pStyle w:val="Heading3"/>
      </w:pPr>
      <w:r>
        <w:t xml:space="preserve">2.2 methylKit</w:t>
      </w:r>
    </w:p>
    <w:p>
      <w:pPr>
        <w:spacing w:after="100"/>
      </w:pPr>
      <w:r>
        <w:rPr>
          <w:b/>
          <w:bCs/>
        </w:rPr>
        <w:t xml:space="preserve">Publication: </w:t>
      </w:r>
      <w:r>
        <w:rPr>
          <w:i/>
          <w:iCs/>
        </w:rPr>
        <w:t xml:space="preserve">Akalin A et al. Genome Biology 2012;13:R87</w:t>
      </w:r>
    </w:p>
    <w:p>
      <w:pPr>
        <w:spacing w:after="200"/>
      </w:pPr>
      <w:r>
        <w:t xml:space="preserve">Comprehensive R package using Fisher's exact test (without replicates) or logistic regression with overdispersion correction (with replicates). Automatically selects appropriate test based on sample size.</w:t>
      </w:r>
    </w:p>
    <w:p>
      <w:pPr>
        <w:pStyle w:val="Heading3"/>
      </w:pPr>
      <w:r>
        <w:t xml:space="preserve">2.3 BSmooth</w:t>
      </w:r>
    </w:p>
    <w:p>
      <w:pPr>
        <w:spacing w:after="100"/>
      </w:pPr>
      <w:r>
        <w:rPr>
          <w:b/>
          <w:bCs/>
        </w:rPr>
        <w:t xml:space="preserve">Publication: </w:t>
      </w:r>
      <w:r>
        <w:rPr>
          <w:i/>
          <w:iCs/>
        </w:rPr>
        <w:t xml:space="preserve">Hansen KD et al. Genome Biology 2012;13:R83</w:t>
      </w:r>
    </w:p>
    <w:p>
      <w:pPr>
        <w:spacing w:after="200"/>
      </w:pPr>
      <w:r>
        <w:t xml:space="preserve">Uses local likelihood smoothing of methylation estimates, suited for identifying broad regional differences. Requires at least 3 replicates per condition. Smoothing may reduce single-CpG sensitivity.</w:t>
      </w:r>
    </w:p>
    <w:p>
      <w:pPr>
        <w:pStyle w:val="Heading3"/>
      </w:pPr>
      <w:r>
        <w:t xml:space="preserve">2.4 BiSeq</w:t>
      </w:r>
    </w:p>
    <w:p>
      <w:pPr>
        <w:spacing w:after="100"/>
      </w:pPr>
      <w:r>
        <w:rPr>
          <w:b/>
          <w:bCs/>
        </w:rPr>
        <w:t xml:space="preserve">Publication: </w:t>
      </w:r>
      <w:r>
        <w:rPr>
          <w:i/>
          <w:iCs/>
        </w:rPr>
        <w:t xml:space="preserve">Hebestreit K et al. Bioinformatics 2013;29(13):1647-1653</w:t>
      </w:r>
    </w:p>
    <w:p>
      <w:pPr>
        <w:spacing w:after="200"/>
      </w:pPr>
      <w:r>
        <w:t xml:space="preserve">Beta regression on smoothed methylation levels with CpG clustering. High sensitivity on low-coverage data, but benchmarks show elevated false positive rates.</w:t>
      </w:r>
    </w:p>
    <w:p>
      <w:pPr>
        <w:pStyle w:val="Heading3"/>
      </w:pPr>
      <w:r>
        <w:t xml:space="preserve">2.5 RADMeth</w:t>
      </w:r>
    </w:p>
    <w:p>
      <w:pPr>
        <w:spacing w:after="100"/>
      </w:pPr>
      <w:r>
        <w:rPr>
          <w:b/>
          <w:bCs/>
        </w:rPr>
        <w:t xml:space="preserve">Publication: </w:t>
      </w:r>
      <w:r>
        <w:rPr>
          <w:i/>
          <w:iCs/>
        </w:rPr>
        <w:t xml:space="preserve">Dolzhenko E &amp; Smith AD. Bioinformatics 2014</w:t>
      </w:r>
    </w:p>
    <w:p>
      <w:pPr>
        <w:spacing w:after="200"/>
      </w:pPr>
      <w:r>
        <w:t xml:space="preserve">Beta-binomial regression handling multiple covariates. Slightly better than methylKit/DSS at low sequencing depth with good sensitivity/specificity balance.</w:t>
      </w:r>
    </w:p>
    <w:p>
      <w:pPr>
        <w:pStyle w:val="Heading3"/>
      </w:pPr>
      <w:r>
        <w:t xml:space="preserve">2.6 MOABS</w:t>
      </w:r>
    </w:p>
    <w:p>
      <w:pPr>
        <w:spacing w:after="100"/>
      </w:pPr>
      <w:r>
        <w:rPr>
          <w:b/>
          <w:bCs/>
        </w:rPr>
        <w:t xml:space="preserve">Publication: </w:t>
      </w:r>
      <w:r>
        <w:rPr>
          <w:i/>
          <w:iCs/>
        </w:rPr>
        <w:t xml:space="preserve">Sun D et al. Genome Biology 2014;15:R38</w:t>
      </w:r>
    </w:p>
    <w:p>
      <w:pPr>
        <w:spacing w:after="200"/>
      </w:pPr>
      <w:r>
        <w:t xml:space="preserve">Introduces 'credible methylation difference' metric combining biological and statistical significance. Uses beta-binomial with bimodal prior distribution.</w:t>
      </w:r>
    </w:p>
    <w:p>
      <w:pPr>
        <w:pStyle w:val="Heading2"/>
      </w:pPr>
      <w:r>
        <w:t xml:space="preserve">3. Array-Based Methods (450K / EPIC)</w:t>
      </w:r>
    </w:p>
    <w:p>
      <w:pPr>
        <w:spacing w:after="200"/>
      </w:pPr>
      <w:r>
        <w:t xml:space="preserve">Illumina arrays measure methylation at predefined CpG sites. Methods account for the beta-distributed nature of methylation values.</w:t>
      </w:r>
    </w:p>
    <w:p>
      <w:pPr>
        <w:pStyle w:val="Heading3"/>
      </w:pPr>
      <w:r>
        <w:t xml:space="preserve">3.1 limma</w:t>
      </w:r>
    </w:p>
    <w:p>
      <w:pPr>
        <w:spacing w:after="100"/>
      </w:pPr>
      <w:r>
        <w:rPr>
          <w:b/>
          <w:bCs/>
        </w:rPr>
        <w:t xml:space="preserve">Publication: </w:t>
      </w:r>
      <w:r>
        <w:rPr>
          <w:i/>
          <w:iCs/>
        </w:rPr>
        <w:t xml:space="preserve">Smyth GK. Stat Appl Genet Mol Biol 2004;3:Article3</w:t>
      </w:r>
    </w:p>
    <w:p>
      <w:pPr>
        <w:spacing w:after="200"/>
      </w:pPr>
      <w:r>
        <w:t xml:space="preserve">Gold-standard framework using empirical Bayes with moderated t-statistics. M-values (logit-transformed beta values) recommended for statistical analysis; beta values for biological interpretation.</w:t>
      </w:r>
    </w:p>
    <w:p>
      <w:pPr>
        <w:pStyle w:val="Heading3"/>
      </w:pPr>
      <w:r>
        <w:t xml:space="preserve">3.2 DMRcate</w:t>
      </w:r>
    </w:p>
    <w:p>
      <w:pPr>
        <w:spacing w:after="100"/>
      </w:pPr>
      <w:r>
        <w:rPr>
          <w:b/>
          <w:bCs/>
        </w:rPr>
        <w:t xml:space="preserve">Publication: </w:t>
      </w:r>
      <w:r>
        <w:rPr>
          <w:i/>
          <w:iCs/>
        </w:rPr>
        <w:t xml:space="preserve">Peters TJ et al. Epigenetics &amp; Chromatin 2015;8:6</w:t>
      </w:r>
    </w:p>
    <w:p>
      <w:pPr>
        <w:spacing w:after="200"/>
      </w:pPr>
      <w:r>
        <w:t xml:space="preserve">Uses Gaussian kernel smoothing of differential methylation signal. Annotation-agnostic, direction-agnostic, fast (no permutations). Outperformed Bumphunter and Probe Lasso in benchmarks.</w:t>
      </w:r>
    </w:p>
    <w:p>
      <w:pPr>
        <w:pStyle w:val="Heading3"/>
      </w:pPr>
      <w:r>
        <w:t xml:space="preserve">3.3 Bumphunter</w:t>
      </w:r>
    </w:p>
    <w:p>
      <w:pPr>
        <w:spacing w:after="100"/>
      </w:pPr>
      <w:r>
        <w:rPr>
          <w:b/>
          <w:bCs/>
        </w:rPr>
        <w:t xml:space="preserve">Publication: </w:t>
      </w:r>
      <w:r>
        <w:rPr>
          <w:i/>
          <w:iCs/>
        </w:rPr>
        <w:t xml:space="preserve">Jaffe AE et al. Int J Epidemiol 2012;41(1):200-209</w:t>
      </w:r>
    </w:p>
    <w:p>
      <w:pPr>
        <w:spacing w:after="200"/>
      </w:pPr>
      <w:r>
        <w:t xml:space="preserve">Identifies DMRs through smoothing with permutation testing. Computationally intensive; may have reduced sensitivity at direction-change boundaries. Benchmark studies show elevated false positive rates.</w:t>
      </w:r>
    </w:p>
    <w:p>
      <w:r>
        <w:br w:type="page"/>
      </w:r>
    </w:p>
    <w:p>
      <w:pPr>
        <w:pStyle w:val="Heading1"/>
      </w:pPr>
      <w:r>
        <w:t xml:space="preserve">PART II: Input Data Structures</w:t>
      </w:r>
    </w:p>
    <w:p>
      <w:pPr>
        <w:spacing w:after="200"/>
      </w:pPr>
      <w:r>
        <w:t xml:space="preserve">The form of input data differs fundamentally between platform types, dictating appropriate statistical models for each.</w:t>
      </w:r>
    </w:p>
    <w:p>
      <w:pPr>
        <w:pStyle w:val="Heading2"/>
      </w:pPr>
      <w:r>
        <w:t xml:space="preserve">1. Enrichment-Based Methods</w:t>
      </w:r>
    </w:p>
    <w:p>
      <w:pPr>
        <w:spacing w:after="100"/>
      </w:pPr>
      <w:r>
        <w:rPr>
          <w:b/>
          <w:bCs/>
        </w:rPr>
        <w:t xml:space="preserve">Input: </w:t>
      </w:r>
      <w:r>
        <w:t xml:space="preserve">Binned read counts or read density (100-500 bp windows)</w:t>
      </w:r>
    </w:p>
    <w:p>
      <w:pPr>
        <w:spacing w:after="100"/>
      </w:pPr>
      <w:r>
        <w:rPr>
          <w:b/>
          <w:bCs/>
        </w:rPr>
        <w:t xml:space="preserve">Format: </w:t>
      </w:r>
      <w:r>
        <w:t xml:space="preserve">chr, start, end, read_count (or RPKM)</w:t>
      </w:r>
    </w:p>
    <w:p>
      <w:pPr>
        <w:spacing w:after="100"/>
      </w:pPr>
      <w:r>
        <w:rPr>
          <w:b/>
          <w:bCs/>
        </w:rPr>
        <w:t xml:space="preserve">Key Issue: </w:t>
      </w:r>
      <w:r>
        <w:t xml:space="preserve">CpG density confounding—higher CpG regions attract more antibody binding even at same methylation level</w:t>
      </w:r>
    </w:p>
    <w:p>
      <w:pPr>
        <w:spacing w:after="200"/>
      </w:pPr>
      <w:r>
        <w:rPr>
          <w:b/>
          <w:bCs/>
        </w:rPr>
        <w:t xml:space="preserve">Appropriate Models: </w:t>
      </w:r>
      <w:r>
        <w:t xml:space="preserve">Linear regression, negative binomial, Poisson, normalized enrichment scores</w:t>
      </w:r>
    </w:p>
    <w:p>
      <w:pPr>
        <w:pStyle w:val="Heading2"/>
      </w:pPr>
      <w:r>
        <w:t xml:space="preserve">2. Bisulfite Sequencing Methods</w:t>
      </w:r>
    </w:p>
    <w:p>
      <w:pPr>
        <w:spacing w:after="100"/>
      </w:pPr>
      <w:r>
        <w:rPr>
          <w:b/>
          <w:bCs/>
        </w:rPr>
        <w:t xml:space="preserve">Input: </w:t>
      </w:r>
      <w:r>
        <w:t xml:space="preserve">Per-CpG count data (methylated reads, total reads)</w:t>
      </w:r>
    </w:p>
    <w:p>
      <w:pPr>
        <w:spacing w:after="100"/>
      </w:pPr>
      <w:r>
        <w:rPr>
          <w:b/>
          <w:bCs/>
        </w:rPr>
        <w:t xml:space="preserve">Format: </w:t>
      </w:r>
      <w:r>
        <w:t xml:space="preserve">chr, position, N (total), X (methylated)</w:t>
      </w:r>
    </w:p>
    <w:p>
      <w:pPr>
        <w:spacing w:after="100"/>
      </w:pPr>
      <w:r>
        <w:rPr>
          <w:b/>
          <w:bCs/>
        </w:rPr>
        <w:t xml:space="preserve">Key Issue: </w:t>
      </w:r>
      <w:r>
        <w:t xml:space="preserve">Coverage-dependent variance; low coverage sites have high uncertainty</w:t>
      </w:r>
    </w:p>
    <w:p>
      <w:pPr>
        <w:spacing w:after="200"/>
      </w:pPr>
      <w:r>
        <w:rPr>
          <w:b/>
          <w:bCs/>
        </w:rPr>
        <w:t xml:space="preserve">Appropriate Models: </w:t>
      </w:r>
      <w:r>
        <w:t xml:space="preserve">Beta-binomial, binomial, logistic regression, Fisher's exact test</w:t>
      </w:r>
    </w:p>
    <w:p>
      <w:pPr>
        <w:pStyle w:val="Heading2"/>
      </w:pPr>
      <w:r>
        <w:t xml:space="preserve">3. Array-Based Methods</w:t>
      </w:r>
    </w:p>
    <w:p>
      <w:pPr>
        <w:spacing w:after="100"/>
      </w:pPr>
      <w:r>
        <w:rPr>
          <w:b/>
          <w:bCs/>
        </w:rPr>
        <w:t xml:space="preserve">Input: </w:t>
      </w:r>
      <w:r>
        <w:t xml:space="preserve">Beta values (0-1) or M-values (logit-transformed)</w:t>
      </w:r>
    </w:p>
    <w:p>
      <w:pPr>
        <w:spacing w:after="100"/>
      </w:pPr>
      <w:r>
        <w:rPr>
          <w:b/>
          <w:bCs/>
        </w:rPr>
        <w:t xml:space="preserve">Format: </w:t>
      </w:r>
      <w:r>
        <w:t xml:space="preserve">Probe ID, sample beta/M values matrix</w:t>
      </w:r>
    </w:p>
    <w:p>
      <w:pPr>
        <w:spacing w:after="100"/>
      </w:pPr>
      <w:r>
        <w:rPr>
          <w:b/>
          <w:bCs/>
        </w:rPr>
        <w:t xml:space="preserve">Key Issue: </w:t>
      </w:r>
      <w:r>
        <w:t xml:space="preserve">Probe density bias in enrichment analysis; Type I vs Type II probe differences</w:t>
      </w:r>
    </w:p>
    <w:p>
      <w:pPr>
        <w:spacing w:after="200"/>
      </w:pPr>
      <w:r>
        <w:rPr>
          <w:b/>
          <w:bCs/>
        </w:rPr>
        <w:t xml:space="preserve">Appropriate Models: </w:t>
      </w:r>
      <w:r>
        <w:t xml:space="preserve">Linear models with empirical Bayes on M-values, t-tests</w:t>
      </w:r>
    </w:p>
    <w:p>
      <w:pPr>
        <w:pStyle w:val="Heading2"/>
      </w:pPr>
      <w:r>
        <w:t xml:space="preserve">Summary: Input Data Structure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Aspect</w:t>
            </w:r>
          </w:p>
        </w:tc>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Enrichment-Based</w:t>
            </w:r>
          </w:p>
        </w:tc>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Bisulfite Seq</w:t>
            </w:r>
          </w:p>
        </w:tc>
        <w:tc>
          <w:tcPr>
            <w:tcW w:type="dxa" w:w="25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Arrays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Unit</w:t>
            </w:r>
          </w:p>
        </w:tc>
        <w:tc>
          <w:tcPr>
            <w:tcW w:type="dxa" w:w="2500"/>
            <w:tcBorders>
              <w:top w:val="single" w:color="CCCCCC" w:sz="1"/>
              <w:left w:val="single" w:color="CCCCCC" w:sz="1"/>
              <w:bottom w:val="single" w:color="CCCCCC" w:sz="1"/>
              <w:right w:val="single" w:color="CCCCCC" w:sz="1"/>
            </w:tcBorders>
          </w:tcPr>
          <w:p>
            <w:r>
              <w:rPr>
                <w:sz w:val="20"/>
                <w:szCs w:val="20"/>
              </w:rPr>
              <w:t xml:space="preserve">Genomic bin (100-500 bp)</w:t>
            </w:r>
          </w:p>
        </w:tc>
        <w:tc>
          <w:tcPr>
            <w:tcW w:type="dxa" w:w="2500"/>
            <w:tcBorders>
              <w:top w:val="single" w:color="CCCCCC" w:sz="1"/>
              <w:left w:val="single" w:color="CCCCCC" w:sz="1"/>
              <w:bottom w:val="single" w:color="CCCCCC" w:sz="1"/>
              <w:right w:val="single" w:color="CCCCCC" w:sz="1"/>
            </w:tcBorders>
          </w:tcPr>
          <w:p>
            <w:r>
              <w:rPr>
                <w:sz w:val="20"/>
                <w:szCs w:val="20"/>
              </w:rPr>
              <w:t xml:space="preserve">Individual CpG site</w:t>
            </w:r>
          </w:p>
        </w:tc>
        <w:tc>
          <w:tcPr>
            <w:tcW w:type="dxa" w:w="2560"/>
            <w:tcBorders>
              <w:top w:val="single" w:color="CCCCCC" w:sz="1"/>
              <w:left w:val="single" w:color="CCCCCC" w:sz="1"/>
              <w:bottom w:val="single" w:color="CCCCCC" w:sz="1"/>
              <w:right w:val="single" w:color="CCCCCC" w:sz="1"/>
            </w:tcBorders>
          </w:tcPr>
          <w:p>
            <w:r>
              <w:rPr>
                <w:sz w:val="20"/>
                <w:szCs w:val="20"/>
              </w:rPr>
              <w:t xml:space="preserve">Individual probe</w:t>
            </w:r>
          </w:p>
        </w:tc>
      </w:tr>
      <w:tr>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Data type</w:t>
            </w:r>
          </w:p>
        </w:tc>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Read counts/density</w:t>
            </w:r>
          </w:p>
        </w:tc>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Binomial counts</w:t>
            </w:r>
          </w:p>
        </w:tc>
        <w:tc>
          <w:tcPr>
            <w:tcW w:type="dxa" w:w="2560"/>
            <w:tcBorders>
              <w:top w:val="single" w:color="CCCCCC" w:sz="1"/>
              <w:left w:val="single" w:color="CCCCCC" w:sz="1"/>
              <w:bottom w:val="single" w:color="CCCCCC" w:sz="1"/>
              <w:right w:val="single" w:color="CCCCCC" w:sz="1"/>
            </w:tcBorders>
            <w:shd w:fill="F2F2F2" w:val="clear"/>
          </w:tcPr>
          <w:p>
            <w:r>
              <w:rPr>
                <w:sz w:val="20"/>
                <w:szCs w:val="20"/>
              </w:rPr>
              <w:t xml:space="preserve">Continuous (beta/M)</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Resolution</w:t>
            </w:r>
          </w:p>
        </w:tc>
        <w:tc>
          <w:tcPr>
            <w:tcW w:type="dxa" w:w="2500"/>
            <w:tcBorders>
              <w:top w:val="single" w:color="CCCCCC" w:sz="1"/>
              <w:left w:val="single" w:color="CCCCCC" w:sz="1"/>
              <w:bottom w:val="single" w:color="CCCCCC" w:sz="1"/>
              <w:right w:val="single" w:color="CCCCCC" w:sz="1"/>
            </w:tcBorders>
          </w:tcPr>
          <w:p>
            <w:r>
              <w:rPr>
                <w:sz w:val="20"/>
                <w:szCs w:val="20"/>
              </w:rPr>
              <w:t xml:space="preserve">~100-500 bp</w:t>
            </w:r>
          </w:p>
        </w:tc>
        <w:tc>
          <w:tcPr>
            <w:tcW w:type="dxa" w:w="2500"/>
            <w:tcBorders>
              <w:top w:val="single" w:color="CCCCCC" w:sz="1"/>
              <w:left w:val="single" w:color="CCCCCC" w:sz="1"/>
              <w:bottom w:val="single" w:color="CCCCCC" w:sz="1"/>
              <w:right w:val="single" w:color="CCCCCC" w:sz="1"/>
            </w:tcBorders>
          </w:tcPr>
          <w:p>
            <w:r>
              <w:rPr>
                <w:sz w:val="20"/>
                <w:szCs w:val="20"/>
              </w:rPr>
              <w:t xml:space="preserve">Single nucleotide</w:t>
            </w:r>
          </w:p>
        </w:tc>
        <w:tc>
          <w:tcPr>
            <w:tcW w:type="dxa" w:w="2560"/>
            <w:tcBorders>
              <w:top w:val="single" w:color="CCCCCC" w:sz="1"/>
              <w:left w:val="single" w:color="CCCCCC" w:sz="1"/>
              <w:bottom w:val="single" w:color="CCCCCC" w:sz="1"/>
              <w:right w:val="single" w:color="CCCCCC" w:sz="1"/>
            </w:tcBorders>
          </w:tcPr>
          <w:p>
            <w:r>
              <w:rPr>
                <w:sz w:val="20"/>
                <w:szCs w:val="20"/>
              </w:rPr>
              <w:t xml:space="preserve">Single probe</w:t>
            </w:r>
          </w:p>
        </w:tc>
      </w:tr>
      <w:tr>
        <w:tc>
          <w:tcPr>
            <w:tcW w:type="dxa" w:w="1800"/>
            <w:tcBorders>
              <w:top w:val="single" w:color="CCCCCC" w:sz="1"/>
              <w:left w:val="single" w:color="CCCCCC" w:sz="1"/>
              <w:bottom w:val="single" w:color="CCCCCC" w:sz="1"/>
              <w:right w:val="single" w:color="CCCCCC" w:sz="1"/>
            </w:tcBorders>
            <w:shd w:fill="F2F2F2" w:val="clear"/>
          </w:tcPr>
          <w:p>
            <w:r>
              <w:rPr>
                <w:sz w:val="20"/>
                <w:szCs w:val="20"/>
              </w:rPr>
              <w:t xml:space="preserve">Key confounder</w:t>
            </w:r>
          </w:p>
        </w:tc>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CpG density</w:t>
            </w:r>
          </w:p>
        </w:tc>
        <w:tc>
          <w:tcPr>
            <w:tcW w:type="dxa" w:w="2500"/>
            <w:tcBorders>
              <w:top w:val="single" w:color="CCCCCC" w:sz="1"/>
              <w:left w:val="single" w:color="CCCCCC" w:sz="1"/>
              <w:bottom w:val="single" w:color="CCCCCC" w:sz="1"/>
              <w:right w:val="single" w:color="CCCCCC" w:sz="1"/>
            </w:tcBorders>
            <w:shd w:fill="F2F2F2" w:val="clear"/>
          </w:tcPr>
          <w:p>
            <w:r>
              <w:rPr>
                <w:sz w:val="20"/>
                <w:szCs w:val="20"/>
              </w:rPr>
              <w:t xml:space="preserve">Sequencing coverage</w:t>
            </w:r>
          </w:p>
        </w:tc>
        <w:tc>
          <w:tcPr>
            <w:tcW w:type="dxa" w:w="2560"/>
            <w:tcBorders>
              <w:top w:val="single" w:color="CCCCCC" w:sz="1"/>
              <w:left w:val="single" w:color="CCCCCC" w:sz="1"/>
              <w:bottom w:val="single" w:color="CCCCCC" w:sz="1"/>
              <w:right w:val="single" w:color="CCCCCC" w:sz="1"/>
            </w:tcBorders>
            <w:shd w:fill="F2F2F2" w:val="clear"/>
          </w:tcPr>
          <w:p>
            <w:r>
              <w:rPr>
                <w:sz w:val="20"/>
                <w:szCs w:val="20"/>
              </w:rPr>
              <w:t xml:space="preserve">Probe bias</w:t>
            </w:r>
          </w:p>
        </w:tc>
      </w:tr>
    </w:tbl>
    <w:p>
      <w:pPr>
        <w:spacing w:before="200" w:after="200"/>
      </w:pPr>
      <w:r>
        <w:rPr>
          <w:b/>
          <w:bCs/>
        </w:rPr>
        <w:t xml:space="preserve">Critical Implication: </w:t>
      </w:r>
      <w:r>
        <w:t xml:space="preserve">Methods designed for one platform cannot be directly applied to another due to fundamentally different data generating processes.</w:t>
      </w:r>
    </w:p>
    <w:p>
      <w:r>
        <w:br w:type="page"/>
      </w:r>
    </w:p>
    <w:p>
      <w:pPr>
        <w:pStyle w:val="Heading1"/>
      </w:pPr>
      <w:r>
        <w:t xml:space="preserve">PART III: Benchmark Studies and Method Comparisons</w:t>
      </w:r>
    </w:p>
    <w:p>
      <w:pPr>
        <w:pStyle w:val="Heading2"/>
      </w:pPr>
      <w:r>
        <w:t xml:space="preserve">1. Enrichment-Based Methods (MeDIP-seq)</w:t>
      </w:r>
    </w:p>
    <w:p>
      <w:pPr>
        <w:spacing w:after="200"/>
      </w:pPr>
      <w:r>
        <w:t xml:space="preserve">No single comprehensive benchmark exists. Key partial comparisons:</w:t>
      </w:r>
    </w:p>
    <w:p>
      <w:pPr>
        <w:pStyle w:val="Heading3"/>
      </w:pPr>
      <w:r>
        <w:t xml:space="preserve">QSEA Benchmark (Lienhard 2017)</w:t>
      </w:r>
    </w:p>
    <w:p>
      <w:pPr>
        <w:spacing w:after="100"/>
      </w:pPr>
      <w:r>
        <w:rPr>
          <w:b/>
          <w:bCs/>
        </w:rPr>
        <w:t xml:space="preserve">Methods: </w:t>
      </w:r>
      <w:r>
        <w:t xml:space="preserve">QSEA vs BayMeth vs MeSiC</w:t>
      </w:r>
    </w:p>
    <w:p>
      <w:pPr>
        <w:spacing w:after="200"/>
      </w:pPr>
      <w:r>
        <w:rPr>
          <w:b/>
          <w:bCs/>
        </w:rPr>
        <w:t xml:space="preserve">Finding: </w:t>
      </w:r>
      <w:r>
        <w:t xml:space="preserve">QSEA outperformed both, particularly suited when no calibration data available.</w:t>
      </w:r>
    </w:p>
    <w:p>
      <w:pPr>
        <w:pStyle w:val="Heading3"/>
      </w:pPr>
      <w:r>
        <w:t xml:space="preserve">MeDEStrand Benchmark (Xu 2018)</w:t>
      </w:r>
    </w:p>
    <w:p>
      <w:pPr>
        <w:spacing w:after="100"/>
      </w:pPr>
      <w:r>
        <w:rPr>
          <w:b/>
          <w:bCs/>
        </w:rPr>
        <w:t xml:space="preserve">Methods: </w:t>
      </w:r>
      <w:r>
        <w:t xml:space="preserve">MeDEStrand vs MEDIPS vs QSEA vs BayMeth</w:t>
      </w:r>
    </w:p>
    <w:p>
      <w:pPr>
        <w:spacing w:after="200"/>
      </w:pPr>
      <w:r>
        <w:rPr>
          <w:b/>
          <w:bCs/>
        </w:rPr>
        <w:t xml:space="preserve">Finding: </w:t>
      </w:r>
      <w:r>
        <w:t xml:space="preserve">MeDEStrand best at high resolution (25-100 bp bins).</w:t>
      </w:r>
    </w:p>
    <w:p>
      <w:pPr>
        <w:pStyle w:val="Heading3"/>
      </w:pPr>
      <w:r>
        <w:t xml:space="preserve">MethRaFo Benchmark (Ding 2017)</w:t>
      </w:r>
    </w:p>
    <w:p>
      <w:pPr>
        <w:spacing w:after="100"/>
      </w:pPr>
      <w:r>
        <w:rPr>
          <w:b/>
          <w:bCs/>
        </w:rPr>
        <w:t xml:space="preserve">Methods: </w:t>
      </w:r>
      <w:r>
        <w:t xml:space="preserve">MethRaFo vs MEDIPS vs BayMeth vs Batman</w:t>
      </w:r>
    </w:p>
    <w:p>
      <w:pPr>
        <w:spacing w:after="200"/>
      </w:pPr>
      <w:r>
        <w:rPr>
          <w:b/>
          <w:bCs/>
        </w:rPr>
        <w:t xml:space="preserve">Finding: </w:t>
      </w:r>
      <w:r>
        <w:t xml:space="preserve">MethRaFo achieved ~4x faster runtime with ~20% accuracy improvement. Batman could not complete within 1 week.</w:t>
      </w:r>
    </w:p>
    <w:p>
      <w:pPr>
        <w:pStyle w:val="Heading2"/>
      </w:pPr>
      <w:r>
        <w:t xml:space="preserve">2. Bisulfite Sequencing Methods</w:t>
      </w:r>
    </w:p>
    <w:p>
      <w:pPr>
        <w:spacing w:after="200"/>
      </w:pPr>
      <w:r>
        <w:t xml:space="preserve">Most mature benchmarking literature with several comprehensive comparisons.</w:t>
      </w:r>
    </w:p>
    <w:p>
      <w:pPr>
        <w:pStyle w:val="Heading3"/>
      </w:pPr>
      <w:r>
        <w:t xml:space="preserve">Comprehensive Evaluation (Park 2021)</w:t>
      </w:r>
    </w:p>
    <w:p>
      <w:pPr>
        <w:spacing w:after="100"/>
      </w:pPr>
      <w:r>
        <w:rPr>
          <w:b/>
          <w:bCs/>
        </w:rPr>
        <w:t xml:space="preserve">Methods: </w:t>
      </w:r>
      <w:r>
        <w:t xml:space="preserve">methylKit, DSS, BSmooth, BiSeq, RADMeth, methylSig, Fisher's exact, metilene</w:t>
      </w:r>
    </w:p>
    <w:p>
      <w:pPr>
        <w:spacing w:after="100"/>
      </w:pPr>
      <w:r>
        <w:rPr>
          <w:b/>
          <w:bCs/>
        </w:rPr>
        <w:t xml:space="preserve">Key Findings:</w:t>
      </w:r>
    </w:p>
    <w:p>
      <w:pPr>
        <w:pStyle w:val="ListParagraph"/>
        <w:numPr>
          <w:ilvl w:val="0"/>
          <w:numId w:val="2"/>
        </w:numPr>
      </w:pPr>
      <w:r>
        <w:t xml:space="preserve">No single method consistently ranked first across all benchmarks</w:t>
      </w:r>
    </w:p>
    <w:p>
      <w:pPr>
        <w:pStyle w:val="ListParagraph"/>
        <w:numPr>
          <w:ilvl w:val="0"/>
          <w:numId w:val="2"/>
        </w:numPr>
      </w:pPr>
      <w:r>
        <w:t xml:space="preserve">RADMeth performed slightly better at low sequencing depth</w:t>
      </w:r>
    </w:p>
    <w:p>
      <w:pPr>
        <w:pStyle w:val="ListParagraph"/>
        <w:numPr>
          <w:ilvl w:val="0"/>
          <w:numId w:val="2"/>
        </w:numPr>
      </w:pPr>
      <w:r>
        <w:t xml:space="preserve">DSS and methylKit had higher true positive rates with few replicates</w:t>
      </w:r>
    </w:p>
    <w:p>
      <w:pPr>
        <w:pStyle w:val="ListParagraph"/>
        <w:numPr>
          <w:ilvl w:val="0"/>
          <w:numId w:val="2"/>
        </w:numPr>
      </w:pPr>
      <w:r>
        <w:t xml:space="preserve">BiSeq showed very high false positives (15,498 vs 0-37 for others)</w:t>
      </w:r>
    </w:p>
    <w:p>
      <w:pPr>
        <w:pStyle w:val="ListParagraph"/>
        <w:numPr>
          <w:ilvl w:val="0"/>
          <w:numId w:val="2"/>
        </w:numPr>
        <w:spacing w:after="200"/>
      </w:pPr>
      <w:r>
        <w:t xml:space="preserve">Good performance when coverage ≥15x or replicates ≥3</w:t>
      </w:r>
    </w:p>
    <w:p>
      <w:pPr>
        <w:pStyle w:val="Heading3"/>
      </w:pPr>
      <w:r>
        <w:t xml:space="preserve">Survey of Approaches (Shafi 2018)</w:t>
      </w:r>
    </w:p>
    <w:p>
      <w:pPr>
        <w:spacing w:after="100"/>
      </w:pPr>
      <w:r>
        <w:rPr>
          <w:b/>
          <w:bCs/>
        </w:rPr>
        <w:t xml:space="preserve">Scope: </w:t>
      </w:r>
      <w:r>
        <w:t xml:space="preserve">Review of 20+ methods</w:t>
      </w:r>
    </w:p>
    <w:p>
      <w:pPr>
        <w:spacing w:after="100"/>
      </w:pPr>
      <w:r>
        <w:rPr>
          <w:b/>
          <w:bCs/>
        </w:rPr>
        <w:t xml:space="preserve">Recommendations:</w:t>
      </w:r>
    </w:p>
    <w:p>
      <w:pPr>
        <w:pStyle w:val="ListParagraph"/>
        <w:numPr>
          <w:ilvl w:val="0"/>
          <w:numId w:val="2"/>
        </w:numPr>
      </w:pPr>
      <w:r>
        <w:t xml:space="preserve">Small sample size → DSS, MethylSig, HMM-Fisher</w:t>
      </w:r>
    </w:p>
    <w:p>
      <w:pPr>
        <w:pStyle w:val="ListParagraph"/>
        <w:numPr>
          <w:ilvl w:val="0"/>
          <w:numId w:val="2"/>
        </w:numPr>
      </w:pPr>
      <w:r>
        <w:t xml:space="preserve">Multiple covariates → methylKit, RADMeth, DSS-general</w:t>
      </w:r>
    </w:p>
    <w:p>
      <w:pPr>
        <w:pStyle w:val="ListParagraph"/>
        <w:numPr>
          <w:ilvl w:val="0"/>
          <w:numId w:val="2"/>
        </w:numPr>
        <w:spacing w:after="200"/>
      </w:pPr>
      <w:r>
        <w:t xml:space="preserve">Single sample patterns → QDMR, CpG_MPs, HMM-Fisher</w:t>
      </w:r>
    </w:p>
    <w:p>
      <w:pPr>
        <w:pStyle w:val="Heading2"/>
      </w:pPr>
      <w:r>
        <w:t xml:space="preserve">3. Array-Based Methods</w:t>
      </w:r>
    </w:p>
    <w:p>
      <w:pPr>
        <w:pStyle w:val="Heading3"/>
      </w:pPr>
      <w:r>
        <w:t xml:space="preserve">False Positive Evaluation (Gatev 2022)</w:t>
      </w:r>
    </w:p>
    <w:p>
      <w:pPr>
        <w:spacing w:after="100"/>
      </w:pPr>
      <w:r>
        <w:rPr>
          <w:b/>
          <w:bCs/>
        </w:rPr>
        <w:t xml:space="preserve">Methods: </w:t>
      </w:r>
      <w:r>
        <w:t xml:space="preserve">DMRcate, Bumphunter, comb-p, mCSEA, coMethDMR</w:t>
      </w:r>
    </w:p>
    <w:p>
      <w:pPr>
        <w:spacing w:after="100"/>
      </w:pPr>
      <w:r>
        <w:rPr>
          <w:b/>
          <w:bCs/>
        </w:rPr>
        <w:t xml:space="preserve">Key Findings:</w:t>
      </w:r>
    </w:p>
    <w:p>
      <w:pPr>
        <w:pStyle w:val="ListParagraph"/>
        <w:numPr>
          <w:ilvl w:val="0"/>
          <w:numId w:val="2"/>
        </w:numPr>
      </w:pPr>
      <w:r>
        <w:t xml:space="preserve">coMethDMR: well-controlled FPR (~5%)</w:t>
      </w:r>
    </w:p>
    <w:p>
      <w:pPr>
        <w:pStyle w:val="ListParagraph"/>
        <w:numPr>
          <w:ilvl w:val="0"/>
          <w:numId w:val="2"/>
        </w:numPr>
      </w:pPr>
      <w:r>
        <w:t xml:space="preserve">DMRcate: generally well-controlled, good on 450K</w:t>
      </w:r>
    </w:p>
    <w:p>
      <w:pPr>
        <w:pStyle w:val="ListParagraph"/>
        <w:numPr>
          <w:ilvl w:val="0"/>
          <w:numId w:val="2"/>
        </w:numPr>
      </w:pPr>
      <w:r>
        <w:t xml:space="preserve">comb-p: FPR &gt;0.34</w:t>
      </w:r>
    </w:p>
    <w:p>
      <w:pPr>
        <w:pStyle w:val="ListParagraph"/>
        <w:numPr>
          <w:ilvl w:val="0"/>
          <w:numId w:val="2"/>
        </w:numPr>
        <w:spacing w:after="200"/>
      </w:pPr>
      <w:r>
        <w:t xml:space="preserve">Bumphunter: very high FPR (0.35-0.95)</w:t>
      </w:r>
    </w:p>
    <w:p>
      <w:pPr>
        <w:pStyle w:val="Heading3"/>
      </w:pPr>
      <w:r>
        <w:t xml:space="preserve">DMRcate Benchmark (Peters 2015)</w:t>
      </w:r>
    </w:p>
    <w:p>
      <w:pPr>
        <w:spacing w:after="100"/>
      </w:pPr>
      <w:r>
        <w:rPr>
          <w:b/>
          <w:bCs/>
        </w:rPr>
        <w:t xml:space="preserve">Methods: </w:t>
      </w:r>
      <w:r>
        <w:t xml:space="preserve">DMRcate vs Bumphunter vs Probe Lasso vs comb-p</w:t>
      </w:r>
    </w:p>
    <w:p>
      <w:pPr>
        <w:spacing w:after="200"/>
      </w:pPr>
      <w:r>
        <w:rPr>
          <w:b/>
          <w:bCs/>
        </w:rPr>
        <w:t xml:space="preserve">Finding: </w:t>
      </w:r>
      <w:r>
        <w:t xml:space="preserve">DMRcate outperformed Bumphunter and Probe Lasso; commensurate with comb-p but much faster.</w:t>
      </w:r>
    </w:p>
    <w:p>
      <w:pPr>
        <w:pStyle w:val="Heading2"/>
      </w:pPr>
      <w:r>
        <w:t xml:space="preserve">Key Benchmark Papers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2000"/>
        <w:gridCol w:w="2360"/>
      </w:tblGrid>
      <w:tr>
        <w:trPr>
          <w:tblHeader/>
        </w:trPr>
        <w:tc>
          <w:tcPr>
            <w:tcW w:type="dxa" w:w="16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Paper</w:t>
            </w:r>
          </w:p>
        </w:tc>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Methods</w:t>
            </w:r>
          </w:p>
        </w:tc>
        <w:tc>
          <w:tcPr>
            <w:tcW w:type="dxa" w:w="23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Recommendation</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MeDIP-seq</w:t>
            </w:r>
          </w:p>
        </w:tc>
        <w:tc>
          <w:tcPr>
            <w:tcW w:type="dxa" w:w="2200"/>
            <w:tcBorders>
              <w:top w:val="single" w:color="CCCCCC" w:sz="1"/>
              <w:left w:val="single" w:color="CCCCCC" w:sz="1"/>
              <w:bottom w:val="single" w:color="CCCCCC" w:sz="1"/>
              <w:right w:val="single" w:color="CCCCCC" w:sz="1"/>
            </w:tcBorders>
          </w:tcPr>
          <w:p>
            <w:r>
              <w:rPr>
                <w:sz w:val="20"/>
                <w:szCs w:val="20"/>
              </w:rPr>
              <w:t xml:space="preserve">QSEA (Lienhard)</w:t>
            </w:r>
          </w:p>
        </w:tc>
        <w:tc>
          <w:tcPr>
            <w:tcW w:type="dxa" w:w="1200"/>
            <w:tcBorders>
              <w:top w:val="single" w:color="CCCCCC" w:sz="1"/>
              <w:left w:val="single" w:color="CCCCCC" w:sz="1"/>
              <w:bottom w:val="single" w:color="CCCCCC" w:sz="1"/>
              <w:right w:val="single" w:color="CCCCCC" w:sz="1"/>
            </w:tcBorders>
          </w:tcPr>
          <w:p>
            <w:r>
              <w:rPr>
                <w:sz w:val="20"/>
                <w:szCs w:val="20"/>
              </w:rPr>
              <w:t xml:space="preserve">2017</w:t>
            </w:r>
          </w:p>
        </w:tc>
        <w:tc>
          <w:tcPr>
            <w:tcW w:type="dxa" w:w="2000"/>
            <w:tcBorders>
              <w:top w:val="single" w:color="CCCCCC" w:sz="1"/>
              <w:left w:val="single" w:color="CCCCCC" w:sz="1"/>
              <w:bottom w:val="single" w:color="CCCCCC" w:sz="1"/>
              <w:right w:val="single" w:color="CCCCCC" w:sz="1"/>
            </w:tcBorders>
          </w:tcPr>
          <w:p>
            <w:r>
              <w:rPr>
                <w:sz w:val="20"/>
                <w:szCs w:val="20"/>
              </w:rPr>
              <w:t xml:space="preserve">QSEA, BayMeth, MeSiC</w:t>
            </w:r>
          </w:p>
        </w:tc>
        <w:tc>
          <w:tcPr>
            <w:tcW w:type="dxa" w:w="2360"/>
            <w:tcBorders>
              <w:top w:val="single" w:color="CCCCCC" w:sz="1"/>
              <w:left w:val="single" w:color="CCCCCC" w:sz="1"/>
              <w:bottom w:val="single" w:color="CCCCCC" w:sz="1"/>
              <w:right w:val="single" w:color="CCCCCC" w:sz="1"/>
            </w:tcBorders>
          </w:tcPr>
          <w:p>
            <w:r>
              <w:rPr>
                <w:sz w:val="20"/>
                <w:szCs w:val="20"/>
              </w:rPr>
              <w:t xml:space="preserve">QSEA (no calibration)</w:t>
            </w:r>
          </w:p>
        </w:tc>
      </w:tr>
      <w:tr>
        <w:tc>
          <w:tcPr>
            <w:tcW w:type="dxa" w:w="1600"/>
            <w:tcBorders>
              <w:top w:val="single" w:color="CCCCCC" w:sz="1"/>
              <w:left w:val="single" w:color="CCCCCC" w:sz="1"/>
              <w:bottom w:val="single" w:color="CCCCCC" w:sz="1"/>
              <w:right w:val="single" w:color="CCCCCC" w:sz="1"/>
            </w:tcBorders>
            <w:shd w:fill="F2F2F2" w:val="clear"/>
          </w:tcPr>
          <w:p>
            <w:r>
              <w:rPr>
                <w:sz w:val="20"/>
                <w:szCs w:val="20"/>
              </w:rPr>
              <w:t xml:space="preserve">MeDIP-seq</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MeDEStrand (Xu)</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2018</w:t>
            </w:r>
          </w:p>
        </w:tc>
        <w:tc>
          <w:tcPr>
            <w:tcW w:type="dxa" w:w="2000"/>
            <w:tcBorders>
              <w:top w:val="single" w:color="CCCCCC" w:sz="1"/>
              <w:left w:val="single" w:color="CCCCCC" w:sz="1"/>
              <w:bottom w:val="single" w:color="CCCCCC" w:sz="1"/>
              <w:right w:val="single" w:color="CCCCCC" w:sz="1"/>
            </w:tcBorders>
            <w:shd w:fill="F2F2F2" w:val="clear"/>
          </w:tcPr>
          <w:p>
            <w:r>
              <w:rPr>
                <w:sz w:val="20"/>
                <w:szCs w:val="20"/>
              </w:rPr>
              <w:t xml:space="preserve">4 methods</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MeDEStrand (high res)</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BS-seq</w:t>
            </w:r>
          </w:p>
        </w:tc>
        <w:tc>
          <w:tcPr>
            <w:tcW w:type="dxa" w:w="2200"/>
            <w:tcBorders>
              <w:top w:val="single" w:color="CCCCCC" w:sz="1"/>
              <w:left w:val="single" w:color="CCCCCC" w:sz="1"/>
              <w:bottom w:val="single" w:color="CCCCCC" w:sz="1"/>
              <w:right w:val="single" w:color="CCCCCC" w:sz="1"/>
            </w:tcBorders>
          </w:tcPr>
          <w:p>
            <w:r>
              <w:rPr>
                <w:sz w:val="20"/>
                <w:szCs w:val="20"/>
              </w:rPr>
              <w:t xml:space="preserve">Comprehensive Eval</w:t>
            </w:r>
          </w:p>
        </w:tc>
        <w:tc>
          <w:tcPr>
            <w:tcW w:type="dxa" w:w="1200"/>
            <w:tcBorders>
              <w:top w:val="single" w:color="CCCCCC" w:sz="1"/>
              <w:left w:val="single" w:color="CCCCCC" w:sz="1"/>
              <w:bottom w:val="single" w:color="CCCCCC" w:sz="1"/>
              <w:right w:val="single" w:color="CCCCCC" w:sz="1"/>
            </w:tcBorders>
          </w:tcPr>
          <w:p>
            <w:r>
              <w:rPr>
                <w:sz w:val="20"/>
                <w:szCs w:val="20"/>
              </w:rPr>
              <w:t xml:space="preserve">2021</w:t>
            </w:r>
          </w:p>
        </w:tc>
        <w:tc>
          <w:tcPr>
            <w:tcW w:type="dxa" w:w="2000"/>
            <w:tcBorders>
              <w:top w:val="single" w:color="CCCCCC" w:sz="1"/>
              <w:left w:val="single" w:color="CCCCCC" w:sz="1"/>
              <w:bottom w:val="single" w:color="CCCCCC" w:sz="1"/>
              <w:right w:val="single" w:color="CCCCCC" w:sz="1"/>
            </w:tcBorders>
          </w:tcPr>
          <w:p>
            <w:r>
              <w:rPr>
                <w:sz w:val="20"/>
                <w:szCs w:val="20"/>
              </w:rPr>
              <w:t xml:space="preserve">8 methods</w:t>
            </w:r>
          </w:p>
        </w:tc>
        <w:tc>
          <w:tcPr>
            <w:tcW w:type="dxa" w:w="2360"/>
            <w:tcBorders>
              <w:top w:val="single" w:color="CCCCCC" w:sz="1"/>
              <w:left w:val="single" w:color="CCCCCC" w:sz="1"/>
              <w:bottom w:val="single" w:color="CCCCCC" w:sz="1"/>
              <w:right w:val="single" w:color="CCCCCC" w:sz="1"/>
            </w:tcBorders>
          </w:tcPr>
          <w:p>
            <w:r>
              <w:rPr>
                <w:sz w:val="20"/>
                <w:szCs w:val="20"/>
              </w:rPr>
              <w:t xml:space="preserve">RADMeth/methylKit</w:t>
            </w:r>
          </w:p>
        </w:tc>
      </w:tr>
      <w:tr>
        <w:tc>
          <w:tcPr>
            <w:tcW w:type="dxa" w:w="1600"/>
            <w:tcBorders>
              <w:top w:val="single" w:color="CCCCCC" w:sz="1"/>
              <w:left w:val="single" w:color="CCCCCC" w:sz="1"/>
              <w:bottom w:val="single" w:color="CCCCCC" w:sz="1"/>
              <w:right w:val="single" w:color="CCCCCC" w:sz="1"/>
            </w:tcBorders>
            <w:shd w:fill="F2F2F2" w:val="clear"/>
          </w:tcPr>
          <w:p>
            <w:r>
              <w:rPr>
                <w:sz w:val="20"/>
                <w:szCs w:val="20"/>
              </w:rPr>
              <w:t xml:space="preserve">BS-seq</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Survey (Shafi)</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2018</w:t>
            </w:r>
          </w:p>
        </w:tc>
        <w:tc>
          <w:tcPr>
            <w:tcW w:type="dxa" w:w="2000"/>
            <w:tcBorders>
              <w:top w:val="single" w:color="CCCCCC" w:sz="1"/>
              <w:left w:val="single" w:color="CCCCCC" w:sz="1"/>
              <w:bottom w:val="single" w:color="CCCCCC" w:sz="1"/>
              <w:right w:val="single" w:color="CCCCCC" w:sz="1"/>
            </w:tcBorders>
            <w:shd w:fill="F2F2F2" w:val="clear"/>
          </w:tcPr>
          <w:p>
            <w:r>
              <w:rPr>
                <w:sz w:val="20"/>
                <w:szCs w:val="20"/>
              </w:rPr>
              <w:t xml:space="preserve">20+ methods</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Context-dependent</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Arrays</w:t>
            </w:r>
          </w:p>
        </w:tc>
        <w:tc>
          <w:tcPr>
            <w:tcW w:type="dxa" w:w="2200"/>
            <w:tcBorders>
              <w:top w:val="single" w:color="CCCCCC" w:sz="1"/>
              <w:left w:val="single" w:color="CCCCCC" w:sz="1"/>
              <w:bottom w:val="single" w:color="CCCCCC" w:sz="1"/>
              <w:right w:val="single" w:color="CCCCCC" w:sz="1"/>
            </w:tcBorders>
          </w:tcPr>
          <w:p>
            <w:r>
              <w:rPr>
                <w:sz w:val="20"/>
                <w:szCs w:val="20"/>
              </w:rPr>
              <w:t xml:space="preserve">FP Evaluation</w:t>
            </w:r>
          </w:p>
        </w:tc>
        <w:tc>
          <w:tcPr>
            <w:tcW w:type="dxa" w:w="1200"/>
            <w:tcBorders>
              <w:top w:val="single" w:color="CCCCCC" w:sz="1"/>
              <w:left w:val="single" w:color="CCCCCC" w:sz="1"/>
              <w:bottom w:val="single" w:color="CCCCCC" w:sz="1"/>
              <w:right w:val="single" w:color="CCCCCC" w:sz="1"/>
            </w:tcBorders>
          </w:tcPr>
          <w:p>
            <w:r>
              <w:rPr>
                <w:sz w:val="20"/>
                <w:szCs w:val="20"/>
              </w:rPr>
              <w:t xml:space="preserve">2022</w:t>
            </w:r>
          </w:p>
        </w:tc>
        <w:tc>
          <w:tcPr>
            <w:tcW w:type="dxa" w:w="2000"/>
            <w:tcBorders>
              <w:top w:val="single" w:color="CCCCCC" w:sz="1"/>
              <w:left w:val="single" w:color="CCCCCC" w:sz="1"/>
              <w:bottom w:val="single" w:color="CCCCCC" w:sz="1"/>
              <w:right w:val="single" w:color="CCCCCC" w:sz="1"/>
            </w:tcBorders>
          </w:tcPr>
          <w:p>
            <w:r>
              <w:rPr>
                <w:sz w:val="20"/>
                <w:szCs w:val="20"/>
              </w:rPr>
              <w:t xml:space="preserve">5 DMR methods</w:t>
            </w:r>
          </w:p>
        </w:tc>
        <w:tc>
          <w:tcPr>
            <w:tcW w:type="dxa" w:w="2360"/>
            <w:tcBorders>
              <w:top w:val="single" w:color="CCCCCC" w:sz="1"/>
              <w:left w:val="single" w:color="CCCCCC" w:sz="1"/>
              <w:bottom w:val="single" w:color="CCCCCC" w:sz="1"/>
              <w:right w:val="single" w:color="CCCCCC" w:sz="1"/>
            </w:tcBorders>
          </w:tcPr>
          <w:p>
            <w:r>
              <w:rPr>
                <w:sz w:val="20"/>
                <w:szCs w:val="20"/>
              </w:rPr>
              <w:t xml:space="preserve">coMethDMR (FPR)</w:t>
            </w:r>
          </w:p>
        </w:tc>
      </w:tr>
      <w:tr>
        <w:tc>
          <w:tcPr>
            <w:tcW w:type="dxa" w:w="1600"/>
            <w:tcBorders>
              <w:top w:val="single" w:color="CCCCCC" w:sz="1"/>
              <w:left w:val="single" w:color="CCCCCC" w:sz="1"/>
              <w:bottom w:val="single" w:color="CCCCCC" w:sz="1"/>
              <w:right w:val="single" w:color="CCCCCC" w:sz="1"/>
            </w:tcBorders>
            <w:shd w:fill="F2F2F2" w:val="clear"/>
          </w:tcPr>
          <w:p>
            <w:r>
              <w:rPr>
                <w:sz w:val="20"/>
                <w:szCs w:val="20"/>
              </w:rPr>
              <w:t xml:space="preserve">Arrays</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DMRcate (Peters)</w:t>
            </w:r>
          </w:p>
        </w:tc>
        <w:tc>
          <w:tcPr>
            <w:tcW w:type="dxa" w:w="1200"/>
            <w:tcBorders>
              <w:top w:val="single" w:color="CCCCCC" w:sz="1"/>
              <w:left w:val="single" w:color="CCCCCC" w:sz="1"/>
              <w:bottom w:val="single" w:color="CCCCCC" w:sz="1"/>
              <w:right w:val="single" w:color="CCCCCC" w:sz="1"/>
            </w:tcBorders>
            <w:shd w:fill="F2F2F2" w:val="clear"/>
          </w:tcPr>
          <w:p>
            <w:r>
              <w:rPr>
                <w:sz w:val="20"/>
                <w:szCs w:val="20"/>
              </w:rPr>
              <w:t xml:space="preserve">2015</w:t>
            </w:r>
          </w:p>
        </w:tc>
        <w:tc>
          <w:tcPr>
            <w:tcW w:type="dxa" w:w="2000"/>
            <w:tcBorders>
              <w:top w:val="single" w:color="CCCCCC" w:sz="1"/>
              <w:left w:val="single" w:color="CCCCCC" w:sz="1"/>
              <w:bottom w:val="single" w:color="CCCCCC" w:sz="1"/>
              <w:right w:val="single" w:color="CCCCCC" w:sz="1"/>
            </w:tcBorders>
            <w:shd w:fill="F2F2F2" w:val="clear"/>
          </w:tcPr>
          <w:p>
            <w:r>
              <w:rPr>
                <w:sz w:val="20"/>
                <w:szCs w:val="20"/>
              </w:rPr>
              <w:t xml:space="preserve">4 DMR methods</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DMRcate (speed+acc)</w:t>
            </w:r>
          </w:p>
        </w:tc>
      </w:tr>
    </w:tbl>
    <w:p>
      <w:pPr>
        <w:pStyle w:val="Heading2"/>
        <w:spacing w:before="300"/>
      </w:pPr>
      <w:r>
        <w:t xml:space="preserve">Cross-Platform Key Observations</w:t>
      </w:r>
    </w:p>
    <w:p>
      <w:pPr>
        <w:pStyle w:val="ListParagraph"/>
        <w:numPr>
          <w:ilvl w:val="0"/>
          <w:numId w:val="2"/>
        </w:numPr>
      </w:pPr>
      <w:r>
        <w:rPr>
          <w:b/>
          <w:bCs/>
        </w:rPr>
        <w:t xml:space="preserve">No universal best method: </w:t>
      </w:r>
      <w:r>
        <w:t xml:space="preserve">Performance depends on data characteristics, sample size, and analysis goals</w:t>
      </w:r>
    </w:p>
    <w:p>
      <w:pPr>
        <w:pStyle w:val="ListParagraph"/>
        <w:numPr>
          <w:ilvl w:val="0"/>
          <w:numId w:val="2"/>
        </w:numPr>
      </w:pPr>
      <w:r>
        <w:rPr>
          <w:b/>
          <w:bCs/>
        </w:rPr>
        <w:t xml:space="preserve">Smoothing trade-offs: </w:t>
      </w:r>
      <w:r>
        <w:t xml:space="preserve">Helps regional detection but may reduce single-CpG sensitivity</w:t>
      </w:r>
    </w:p>
    <w:p>
      <w:pPr>
        <w:pStyle w:val="ListParagraph"/>
        <w:numPr>
          <w:ilvl w:val="0"/>
          <w:numId w:val="2"/>
        </w:numPr>
      </w:pPr>
      <w:r>
        <w:rPr>
          <w:b/>
          <w:bCs/>
        </w:rPr>
        <w:t xml:space="preserve">Replicates matter: </w:t>
      </w:r>
      <w:r>
        <w:t xml:space="preserve">More biological replicates often more important than increased sequencing depth</w:t>
      </w:r>
    </w:p>
    <w:p>
      <w:pPr>
        <w:pStyle w:val="ListParagraph"/>
        <w:numPr>
          <w:ilvl w:val="0"/>
          <w:numId w:val="2"/>
        </w:numPr>
      </w:pPr>
      <w:r>
        <w:rPr>
          <w:b/>
          <w:bCs/>
        </w:rPr>
        <w:t xml:space="preserve">False positive control varies: </w:t>
      </w:r>
      <w:r>
        <w:t xml:space="preserve">BiSeq, Bumphunter show elevated FPR in certain conditions</w:t>
      </w:r>
    </w:p>
    <w:p>
      <w:pPr>
        <w:pStyle w:val="ListParagraph"/>
        <w:numPr>
          <w:ilvl w:val="0"/>
          <w:numId w:val="2"/>
        </w:numPr>
      </w:pPr>
      <w:r>
        <w:rPr>
          <w:b/>
          <w:bCs/>
        </w:rPr>
        <w:t xml:space="preserve">Low method concordance: </w:t>
      </w:r>
      <w:r>
        <w:t xml:space="preserve">Different methods often identify different DMRs/DMCs</w:t>
      </w:r>
    </w:p>
    <w:p>
      <w:r>
        <w:br w:type="page"/>
      </w:r>
    </w:p>
    <w:p>
      <w:pPr>
        <w:pStyle w:val="Heading1"/>
      </w:pPr>
      <w:r>
        <w:t xml:space="preserve">References</w:t>
      </w:r>
    </w:p>
    <w:p>
      <w:pPr>
        <w:spacing w:after="80"/>
      </w:pPr>
      <w:r>
        <w:rPr>
          <w:b/>
          <w:bCs/>
        </w:rPr>
        <w:t xml:space="preserve">1. </w:t>
      </w:r>
      <w:r>
        <w:t xml:space="preserve">Down TA et al. </w:t>
      </w:r>
      <w:r>
        <w:rPr>
          <w:i/>
          <w:iCs/>
        </w:rPr>
        <w:t xml:space="preserve">Nat Biotechnol</w:t>
      </w:r>
      <w:r>
        <w:t xml:space="preserve"> 2008;26:779-785.</w:t>
      </w:r>
    </w:p>
    <w:p>
      <w:pPr>
        <w:spacing w:after="80"/>
      </w:pPr>
      <w:r>
        <w:rPr>
          <w:b/>
          <w:bCs/>
        </w:rPr>
        <w:t xml:space="preserve">2. </w:t>
      </w:r>
      <w:r>
        <w:t xml:space="preserve">Lienhard M et al. </w:t>
      </w:r>
      <w:r>
        <w:rPr>
          <w:i/>
          <w:iCs/>
        </w:rPr>
        <w:t xml:space="preserve">Bioinformatics</w:t>
      </w:r>
      <w:r>
        <w:t xml:space="preserve"> 2014;30:284-286.</w:t>
      </w:r>
    </w:p>
    <w:p>
      <w:pPr>
        <w:spacing w:after="80"/>
      </w:pPr>
      <w:r>
        <w:rPr>
          <w:b/>
          <w:bCs/>
        </w:rPr>
        <w:t xml:space="preserve">3. </w:t>
      </w:r>
      <w:r>
        <w:t xml:space="preserve">Lienhard M et al. </w:t>
      </w:r>
      <w:r>
        <w:rPr>
          <w:i/>
          <w:iCs/>
        </w:rPr>
        <w:t xml:space="preserve">Nucleic Acids Res</w:t>
      </w:r>
      <w:r>
        <w:t xml:space="preserve"> 2017;45:e44.</w:t>
      </w:r>
    </w:p>
    <w:p>
      <w:pPr>
        <w:spacing w:after="80"/>
      </w:pPr>
      <w:r>
        <w:rPr>
          <w:b/>
          <w:bCs/>
        </w:rPr>
        <w:t xml:space="preserve">4. </w:t>
      </w:r>
      <w:r>
        <w:t xml:space="preserve">Xu J et al. </w:t>
      </w:r>
      <w:r>
        <w:rPr>
          <w:i/>
          <w:iCs/>
        </w:rPr>
        <w:t xml:space="preserve">BMC Bioinformatics</w:t>
      </w:r>
      <w:r>
        <w:t xml:space="preserve"> 2018;19:540.</w:t>
      </w:r>
    </w:p>
    <w:p>
      <w:pPr>
        <w:spacing w:after="80"/>
      </w:pPr>
      <w:r>
        <w:rPr>
          <w:b/>
          <w:bCs/>
        </w:rPr>
        <w:t xml:space="preserve">5. </w:t>
      </w:r>
      <w:r>
        <w:t xml:space="preserve">Zeng Y et al. </w:t>
      </w:r>
      <w:r>
        <w:rPr>
          <w:i/>
          <w:iCs/>
        </w:rPr>
        <w:t xml:space="preserve">Bioinformatics</w:t>
      </w:r>
      <w:r>
        <w:t xml:space="preserve"> 2023;39:btad423.</w:t>
      </w:r>
    </w:p>
    <w:p>
      <w:pPr>
        <w:spacing w:after="80"/>
      </w:pPr>
      <w:r>
        <w:rPr>
          <w:b/>
          <w:bCs/>
        </w:rPr>
        <w:t xml:space="preserve">6. </w:t>
      </w:r>
      <w:r>
        <w:t xml:space="preserve">Shen SY et al. </w:t>
      </w:r>
      <w:r>
        <w:rPr>
          <w:i/>
          <w:iCs/>
        </w:rPr>
        <w:t xml:space="preserve">Nature</w:t>
      </w:r>
      <w:r>
        <w:t xml:space="preserve"> 2018;563:579-583.</w:t>
      </w:r>
    </w:p>
    <w:p>
      <w:pPr>
        <w:spacing w:after="80"/>
      </w:pPr>
      <w:r>
        <w:rPr>
          <w:b/>
          <w:bCs/>
        </w:rPr>
        <w:t xml:space="preserve">7. </w:t>
      </w:r>
      <w:r>
        <w:t xml:space="preserve">Halla-aho V &amp; Lähdesmäki H. </w:t>
      </w:r>
      <w:r>
        <w:rPr>
          <w:i/>
          <w:iCs/>
        </w:rPr>
        <w:t xml:space="preserve">BMC Bioinformatics</w:t>
      </w:r>
      <w:r>
        <w:t xml:space="preserve"> 2022;23:138.</w:t>
      </w:r>
    </w:p>
    <w:p>
      <w:pPr>
        <w:spacing w:after="80"/>
      </w:pPr>
      <w:r>
        <w:rPr>
          <w:b/>
          <w:bCs/>
        </w:rPr>
        <w:t xml:space="preserve">8. </w:t>
      </w:r>
      <w:r>
        <w:t xml:space="preserve">Feng H et al. </w:t>
      </w:r>
      <w:r>
        <w:rPr>
          <w:i/>
          <w:iCs/>
        </w:rPr>
        <w:t xml:space="preserve">Nucleic Acids Res</w:t>
      </w:r>
      <w:r>
        <w:t xml:space="preserve"> 2014;42:e69.</w:t>
      </w:r>
    </w:p>
    <w:p>
      <w:pPr>
        <w:spacing w:after="80"/>
      </w:pPr>
      <w:r>
        <w:rPr>
          <w:b/>
          <w:bCs/>
        </w:rPr>
        <w:t xml:space="preserve">9. </w:t>
      </w:r>
      <w:r>
        <w:t xml:space="preserve">Akalin A et al. </w:t>
      </w:r>
      <w:r>
        <w:rPr>
          <w:i/>
          <w:iCs/>
        </w:rPr>
        <w:t xml:space="preserve">Genome Biol</w:t>
      </w:r>
      <w:r>
        <w:t xml:space="preserve"> 2012;13:R87.</w:t>
      </w:r>
    </w:p>
    <w:p>
      <w:pPr>
        <w:spacing w:after="80"/>
      </w:pPr>
      <w:r>
        <w:rPr>
          <w:b/>
          <w:bCs/>
        </w:rPr>
        <w:t xml:space="preserve">10. </w:t>
      </w:r>
      <w:r>
        <w:t xml:space="preserve">Hansen KD et al. </w:t>
      </w:r>
      <w:r>
        <w:rPr>
          <w:i/>
          <w:iCs/>
        </w:rPr>
        <w:t xml:space="preserve">Genome Biol</w:t>
      </w:r>
      <w:r>
        <w:t xml:space="preserve"> 2012;13:R83.</w:t>
      </w:r>
    </w:p>
    <w:p>
      <w:pPr>
        <w:spacing w:after="80"/>
      </w:pPr>
      <w:r>
        <w:rPr>
          <w:b/>
          <w:bCs/>
        </w:rPr>
        <w:t xml:space="preserve">11. </w:t>
      </w:r>
      <w:r>
        <w:t xml:space="preserve">Hebestreit K et al. </w:t>
      </w:r>
      <w:r>
        <w:rPr>
          <w:i/>
          <w:iCs/>
        </w:rPr>
        <w:t xml:space="preserve">Bioinformatics</w:t>
      </w:r>
      <w:r>
        <w:t xml:space="preserve"> 2013;29:1647-1653.</w:t>
      </w:r>
    </w:p>
    <w:p>
      <w:pPr>
        <w:spacing w:after="80"/>
      </w:pPr>
      <w:r>
        <w:rPr>
          <w:b/>
          <w:bCs/>
        </w:rPr>
        <w:t xml:space="preserve">12. </w:t>
      </w:r>
      <w:r>
        <w:t xml:space="preserve">Sun D et al. </w:t>
      </w:r>
      <w:r>
        <w:rPr>
          <w:i/>
          <w:iCs/>
        </w:rPr>
        <w:t xml:space="preserve">Genome Biol</w:t>
      </w:r>
      <w:r>
        <w:t xml:space="preserve"> 2014;15:R38.</w:t>
      </w:r>
    </w:p>
    <w:p>
      <w:pPr>
        <w:spacing w:after="80"/>
      </w:pPr>
      <w:r>
        <w:rPr>
          <w:b/>
          <w:bCs/>
        </w:rPr>
        <w:t xml:space="preserve">13. </w:t>
      </w:r>
      <w:r>
        <w:t xml:space="preserve">Smyth GK. </w:t>
      </w:r>
      <w:r>
        <w:rPr>
          <w:i/>
          <w:iCs/>
        </w:rPr>
        <w:t xml:space="preserve">Stat Appl Genet Mol Biol</w:t>
      </w:r>
      <w:r>
        <w:t xml:space="preserve"> 2004;3:Article3.</w:t>
      </w:r>
    </w:p>
    <w:p>
      <w:pPr>
        <w:spacing w:after="80"/>
      </w:pPr>
      <w:r>
        <w:rPr>
          <w:b/>
          <w:bCs/>
        </w:rPr>
        <w:t xml:space="preserve">14. </w:t>
      </w:r>
      <w:r>
        <w:t xml:space="preserve">Peters TJ et al. </w:t>
      </w:r>
      <w:r>
        <w:rPr>
          <w:i/>
          <w:iCs/>
        </w:rPr>
        <w:t xml:space="preserve">Epigenetics Chromatin</w:t>
      </w:r>
      <w:r>
        <w:t xml:space="preserve"> 2015;8:6.</w:t>
      </w:r>
    </w:p>
    <w:p>
      <w:pPr>
        <w:spacing w:after="80"/>
      </w:pPr>
      <w:r>
        <w:rPr>
          <w:b/>
          <w:bCs/>
        </w:rPr>
        <w:t xml:space="preserve">15. </w:t>
      </w:r>
      <w:r>
        <w:t xml:space="preserve">Jaffe AE et al. </w:t>
      </w:r>
      <w:r>
        <w:rPr>
          <w:i/>
          <w:iCs/>
        </w:rPr>
        <w:t xml:space="preserve">Int J Epidemiol</w:t>
      </w:r>
      <w:r>
        <w:t xml:space="preserve"> 2012;41:200-209.</w:t>
      </w:r>
    </w:p>
    <w:p>
      <w:pPr>
        <w:spacing w:after="80"/>
      </w:pPr>
      <w:r>
        <w:rPr>
          <w:b/>
          <w:bCs/>
        </w:rPr>
        <w:t xml:space="preserve">16. </w:t>
      </w:r>
      <w:r>
        <w:t xml:space="preserve">Park Y et al. </w:t>
      </w:r>
      <w:r>
        <w:rPr>
          <w:i/>
          <w:iCs/>
        </w:rPr>
        <w:t xml:space="preserve">Int J Environ Res Public Health</w:t>
      </w:r>
      <w:r>
        <w:t xml:space="preserve"> 2021;18:7975.</w:t>
      </w:r>
    </w:p>
    <w:p>
      <w:pPr>
        <w:spacing w:after="80"/>
      </w:pPr>
      <w:r>
        <w:rPr>
          <w:b/>
          <w:bCs/>
        </w:rPr>
        <w:t xml:space="preserve">17. </w:t>
      </w:r>
      <w:r>
        <w:t xml:space="preserve">Shafi A et al. </w:t>
      </w:r>
      <w:r>
        <w:rPr>
          <w:i/>
          <w:iCs/>
        </w:rPr>
        <w:t xml:space="preserve">Brief Bioinform</w:t>
      </w:r>
      <w:r>
        <w:t xml:space="preserve"> 2018;19:737-753.</w:t>
      </w:r>
    </w:p>
    <w:p>
      <w:pPr>
        <w:spacing w:after="80"/>
      </w:pPr>
      <w:r>
        <w:rPr>
          <w:b/>
          <w:bCs/>
        </w:rPr>
        <w:t xml:space="preserve">18. </w:t>
      </w:r>
      <w:r>
        <w:t xml:space="preserve">Gatev E et al. </w:t>
      </w:r>
      <w:r>
        <w:rPr>
          <w:i/>
          <w:iCs/>
        </w:rPr>
        <w:t xml:space="preserve">Epigenetics</w:t>
      </w:r>
      <w:r>
        <w:t xml:space="preserve"> 2022.</w:t>
      </w:r>
    </w:p>
    <w:p>
      <w:pPr>
        <w:spacing w:before="400"/>
        <w:jc w:val="center"/>
      </w:pPr>
      <w:r>
        <w:rPr>
          <w:i/>
          <w:iCs/>
          <w:color w:val="666666"/>
          <w:sz w:val="20"/>
          <w:szCs w:val="20"/>
        </w:rPr>
        <w:t xml:space="preserve">Document prepared: December 2025</w:t>
      </w:r>
    </w:p>
    <w:p>
      <w:pPr>
        <w:jc w:val="center"/>
      </w:pPr>
      <w:r>
        <w:rPr>
          <w:i/>
          <w:iCs/>
          <w:color w:val="666666"/>
          <w:sz w:val="20"/>
          <w:szCs w:val="20"/>
        </w:rPr>
        <w:t xml:space="preserve">This report is intended as a technical reference for researchers selecting differential methylation analysis methods.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Differential Methylation Analysis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2025-12-08T08:12:14.752Z</dcterms:created>
  <dcterms:modified xsi:type="dcterms:W3CDTF">2025-12-08T08:12:14.753Z</dcterms:modified>
</cp:coreProperties>
</file>

<file path=docProps/custom.xml><?xml version="1.0" encoding="utf-8"?>
<Properties xmlns="http://schemas.openxmlformats.org/officeDocument/2006/custom-properties" xmlns:vt="http://schemas.openxmlformats.org/officeDocument/2006/docPropsVTypes"/>
</file>