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Part I, Section 1: Enrichment-Based Methods</w:t>
      </w:r>
    </w:p>
    <w:p>
      <w:pPr>
        <w:spacing w:after="400"/>
        <w:jc w:val="center"/>
      </w:pPr>
      <w:r>
        <w:rPr>
          <w:i/>
          <w:iCs/>
          <w:color w:val="666666"/>
          <w:sz w:val="24"/>
          <w:szCs w:val="24"/>
        </w:rPr>
        <w:t xml:space="preserve">Comprehensive Review of Bioinformatics Pipelines and Statistical Models</w:t>
      </w:r>
    </w:p>
    <w:p>
      <w:pPr>
        <w:pStyle w:val="Heading1"/>
      </w:pPr>
      <w:r>
        <w:t xml:space="preserve">1. Introduction to Enrichment-Based Methylation Analysis</w:t>
      </w:r>
    </w:p>
    <w:p>
      <w:pPr>
        <w:spacing w:after="200"/>
      </w:pPr>
      <w:r>
        <w:t xml:space="preserve">Enrichment-based methods, particularly Methylated DNA Immunoprecipitation followed by sequencing (MeDIP-seq), provide a cost-effective approach for genome-wide DNA methylation profiling. Unlike bisulfite sequencing methods that provide single-nucleotide resolution, enrichment-based approaches capture methylated DNA fragments using antibodies specific to 5-methylcytosine (5mC). The key analytical challenge lies in transforming the enrichment signal into absolute methylation levels, correcting for the confounding effect of local CpG density on antibody binding efficiency.</w:t>
      </w:r>
    </w:p>
    <w:p>
      <w:pPr>
        <w:spacing w:after="200"/>
      </w:pPr>
      <w:r>
        <w:t xml:space="preserve">This section provides detailed documentation of seven methods for analyzing enrichment-based methylation data, with emphasis on: (1) the complete bioinformatics pipeline from raw FASTQ files to analysis-ready input, and (2) the full statistical models with explicit mathematical formulations and underlying assumptions.</w:t>
      </w:r>
    </w:p>
    <w:p>
      <w:pPr>
        <w:pStyle w:val="Heading1"/>
      </w:pPr>
      <w:r>
        <w:t xml:space="preserve">2. Common Bioinformatics Pipeline: FASTQ to BAM</w:t>
      </w:r>
    </w:p>
    <w:p>
      <w:pPr>
        <w:spacing w:after="200"/>
      </w:pPr>
      <w:r>
        <w:t xml:space="preserve">All enrichment-based methods share a common upstream preprocessing pipeline. The steps below transform raw sequencing data into aligned reads suitable for downstream analysis.</w:t>
      </w:r>
    </w:p>
    <w:p>
      <w:pPr>
        <w:pStyle w:val="Heading2"/>
      </w:pPr>
      <w:r>
        <w:t xml:space="preserve">2.1 Quality Control and Read Trimming</w:t>
      </w:r>
    </w:p>
    <w:p>
      <w:pPr>
        <w:spacing w:after="100"/>
      </w:pPr>
      <w:r>
        <w:rPr>
          <w:b/>
          <w:bCs/>
        </w:rPr>
        <w:t xml:space="preserve">Step 1: Initial QC with FastQC</w:t>
      </w:r>
    </w:p>
    <w:p>
      <w:pPr>
        <w:spacing w:after="100"/>
      </w:pPr>
      <w:r>
        <w:rPr>
          <w:rFonts w:ascii="Courier New" w:cs="Courier New" w:eastAsia="Courier New" w:hAnsi="Courier New"/>
          <w:sz w:val="20"/>
          <w:szCs w:val="20"/>
        </w:rPr>
        <w:t xml:space="preserve">fastqc -o qc_reports/ sample_R1.fastq.gz sample_R2.fastq.gz</w:t>
      </w:r>
    </w:p>
    <w:p>
      <w:pPr>
        <w:spacing w:after="100"/>
      </w:pPr>
      <w:r>
        <w:rPr>
          <w:b/>
          <w:bCs/>
        </w:rPr>
        <w:t xml:space="preserve">Step 2: Adapter Trimming with Trim Galore or Cutadapt</w:t>
      </w:r>
    </w:p>
    <w:p>
      <w:pPr>
        <w:spacing w:after="200"/>
      </w:pPr>
      <w:r>
        <w:rPr>
          <w:rFonts w:ascii="Courier New" w:cs="Courier New" w:eastAsia="Courier New" w:hAnsi="Courier New"/>
          <w:sz w:val="20"/>
          <w:szCs w:val="20"/>
        </w:rPr>
        <w:t xml:space="preserve">trim_galore --paired --quality 20 --length 36 sample_R1.fastq.gz sample_R2.fastq.gz</w:t>
      </w:r>
    </w:p>
    <w:p>
      <w:pPr>
        <w:pStyle w:val="Heading2"/>
      </w:pPr>
      <w:r>
        <w:t xml:space="preserve">2.2 Read Alignment</w:t>
      </w:r>
    </w:p>
    <w:p>
      <w:pPr>
        <w:spacing w:after="100"/>
      </w:pPr>
      <w:r>
        <w:rPr>
          <w:b/>
          <w:bCs/>
        </w:rPr>
        <w:t xml:space="preserve">Step 3: Align to Reference Genome with BWA-MEM or Bowtie2</w:t>
      </w:r>
    </w:p>
    <w:p>
      <w:pPr>
        <w:spacing w:after="100"/>
      </w:pPr>
      <w:r>
        <w:rPr>
          <w:rFonts w:ascii="Courier New" w:cs="Courier New" w:eastAsia="Courier New" w:hAnsi="Courier New"/>
          <w:sz w:val="20"/>
          <w:szCs w:val="20"/>
        </w:rPr>
        <w:t xml:space="preserve">bwa mem -t 8 reference_genome.fa sample_R1_trimmed.fq.gz sample_R2_trimmed.fq.gz | samtools sort -o sample.sorted.bam</w:t>
      </w:r>
    </w:p>
    <w:p>
      <w:pPr>
        <w:spacing w:after="100"/>
      </w:pPr>
      <w:r>
        <w:rPr>
          <w:b/>
          <w:bCs/>
        </w:rPr>
        <w:t xml:space="preserve">Step 4: Mark/Remove PCR Duplicates</w:t>
      </w:r>
    </w:p>
    <w:p>
      <w:pPr>
        <w:spacing w:after="100"/>
      </w:pPr>
      <w:r>
        <w:rPr>
          <w:rFonts w:ascii="Courier New" w:cs="Courier New" w:eastAsia="Courier New" w:hAnsi="Courier New"/>
          <w:sz w:val="20"/>
          <w:szCs w:val="20"/>
        </w:rPr>
        <w:t xml:space="preserve">picard MarkDuplicates I=sample.sorted.bam O=sample.dedup.bam M=dup_metrics.txt REMOVE_DUPLICATES=true</w:t>
      </w:r>
    </w:p>
    <w:p>
      <w:pPr>
        <w:spacing w:after="100"/>
      </w:pPr>
      <w:r>
        <w:rPr>
          <w:b/>
          <w:bCs/>
        </w:rPr>
        <w:t xml:space="preserve">Step 5: Index BAM File</w:t>
      </w:r>
    </w:p>
    <w:p>
      <w:pPr>
        <w:spacing w:after="200"/>
      </w:pPr>
      <w:r>
        <w:rPr>
          <w:rFonts w:ascii="Courier New" w:cs="Courier New" w:eastAsia="Courier New" w:hAnsi="Courier New"/>
          <w:sz w:val="20"/>
          <w:szCs w:val="20"/>
        </w:rPr>
        <w:t xml:space="preserve">samtools index sample.dedup.bam</w:t>
      </w:r>
    </w:p>
    <w:p>
      <w:r>
        <w:br w:type="page"/>
      </w:r>
    </w:p>
    <w:p>
      <w:pPr>
        <w:pStyle w:val="Heading1"/>
      </w:pPr>
      <w:r>
        <w:t xml:space="preserve">3. BATMAN (Bayesian Tool for Methylation Analysis)</w:t>
      </w:r>
    </w:p>
    <w:p>
      <w:pPr>
        <w:spacing w:after="100"/>
      </w:pPr>
      <w:r>
        <w:rPr>
          <w:b/>
          <w:bCs/>
        </w:rPr>
        <w:t xml:space="preserve">Reference: </w:t>
      </w:r>
      <w:r>
        <w:t xml:space="preserve">Down et al. (2008) Nature Biotechnology 26:779-785</w:t>
      </w:r>
    </w:p>
    <w:p>
      <w:pPr>
        <w:pStyle w:val="Heading2"/>
      </w:pPr>
      <w:r>
        <w:t xml:space="preserve">3.1 Method Overview</w:t>
      </w:r>
    </w:p>
    <w:p>
      <w:pPr>
        <w:spacing w:after="200"/>
      </w:pPr>
      <w:r>
        <w:t xml:space="preserve">BATMAN uses a Bayesian deconvolution approach to estimate absolute methylation levels from MeDIP-chip or MeDIP-seq data. The algorithm models the relationship between observed enrichment signals and the underlying CpG methylation states, accounting for the effect of local CpG density on antibody binding efficiency.</w:t>
      </w:r>
    </w:p>
    <w:p>
      <w:pPr>
        <w:pStyle w:val="Heading2"/>
      </w:pPr>
      <w:r>
        <w:t xml:space="preserve">3.2 Pipeline: BAM to BATMAN Input</w:t>
      </w:r>
    </w:p>
    <w:p>
      <w:pPr>
        <w:spacing w:after="100"/>
      </w:pPr>
      <w:r>
        <w:rPr>
          <w:b/>
          <w:bCs/>
        </w:rPr>
        <w:t xml:space="preserve">For MeDIP-seq: </w:t>
      </w:r>
      <w:r>
        <w:t xml:space="preserve">Convert BAM to normalized read counts per genomic window</w:t>
      </w:r>
    </w:p>
    <w:p>
      <w:pPr>
        <w:spacing w:after="100"/>
      </w:pPr>
      <w:r>
        <w:rPr>
          <w:rFonts w:ascii="Courier New" w:cs="Courier New" w:eastAsia="Courier New" w:hAnsi="Courier New"/>
          <w:sz w:val="20"/>
          <w:szCs w:val="20"/>
        </w:rPr>
        <w:t xml:space="preserve"># Create genome-wide windows and count reads
bedtools makewindows -g genome.sizes -w 100 &gt; windows.bed
bedtools coverage -a windows.bed -b sample.dedup.bam &gt; sample_counts.bed</w:t>
      </w:r>
    </w:p>
    <w:p>
      <w:pPr>
        <w:spacing w:after="200"/>
      </w:pPr>
      <w:r>
        <w:rPr>
          <w:b/>
          <w:bCs/>
        </w:rPr>
        <w:t xml:space="preserve">Required inputs: </w:t>
      </w:r>
      <w:r>
        <w:t xml:space="preserve">(1) Normalized MeDIP signal (log2 ratios or read counts), (2) Reference genome with CpG positions, (3) Probe/window coordinates</w:t>
      </w:r>
    </w:p>
    <w:p>
      <w:pPr>
        <w:pStyle w:val="Heading2"/>
      </w:pPr>
      <w:r>
        <w:t xml:space="preserve">3.3 Statistical Model</w:t>
      </w:r>
    </w:p>
    <w:p>
      <w:pPr>
        <w:spacing w:after="200"/>
      </w:pPr>
      <w:r>
        <w:rPr>
          <w:b/>
          <w:bCs/>
        </w:rPr>
        <w:t xml:space="preserve">Core Model: </w:t>
      </w:r>
      <w:r>
        <w:t xml:space="preserve">BATMAN models the expected MeDIP signal at probe/window p as a linear combination of contributions from nearby methylated CpGs:</w:t>
      </w:r>
    </w:p>
    <w:p>
      <w:pPr>
        <w:spacing w:after="200"/>
        <w:jc w:val="center"/>
      </w:pPr>
      <w:r>
        <w:rPr>
          <w:i/>
          <w:iCs/>
          <w:sz w:val="24"/>
          <w:szCs w:val="24"/>
        </w:rPr>
        <w:t xml:space="preserve">E[Sₚ] = ∑ᶜ Ccp · mc + εp</w:t>
      </w:r>
    </w:p>
    <w:p>
      <w:pPr>
        <w:spacing w:after="100"/>
      </w:pPr>
      <w:r>
        <w:rPr>
          <w:b/>
          <w:bCs/>
        </w:rPr>
        <w:t xml:space="preserve">where:</w:t>
      </w:r>
    </w:p>
    <w:p>
      <w:pPr>
        <w:spacing w:after="100"/>
      </w:pPr>
      <w:r>
        <w:t xml:space="preserve">• Sₚ = observed MeDIP signal (normalized log2 ratio) at probe/window p</w:t>
      </w:r>
    </w:p>
    <w:p>
      <w:pPr>
        <w:spacing w:after="100"/>
      </w:pPr>
      <w:r>
        <w:t xml:space="preserve">• Ccp = coupling factor between probe p and CpG c (fraction of DNA fragments at p containing CpG c)</w:t>
      </w:r>
    </w:p>
    <w:p>
      <w:pPr>
        <w:spacing w:after="100"/>
      </w:pPr>
      <w:r>
        <w:t xml:space="preserve">• mc ∈ [0,1] = methylation level at CpG c</w:t>
      </w:r>
    </w:p>
    <w:p>
      <w:pPr>
        <w:spacing w:after="200"/>
      </w:pPr>
      <w:r>
        <w:t xml:space="preserve">• εp = measurement error (assumed normally distributed)</w:t>
      </w:r>
    </w:p>
    <w:p>
      <w:pPr>
        <w:spacing w:after="100"/>
      </w:pPr>
      <w:r>
        <w:rPr>
          <w:b/>
          <w:bCs/>
        </w:rPr>
        <w:t xml:space="preserve">Bayesian Framework: </w:t>
      </w:r>
      <w:r>
        <w:t xml:space="preserve">The posterior distribution of methylation states is computed using:</w:t>
      </w:r>
    </w:p>
    <w:p>
      <w:pPr>
        <w:spacing w:after="200"/>
        <w:jc w:val="center"/>
      </w:pPr>
      <w:r>
        <w:rPr>
          <w:i/>
          <w:iCs/>
          <w:sz w:val="24"/>
          <w:szCs w:val="24"/>
        </w:rPr>
        <w:t xml:space="preserve">P(m | S) ∝ P(S | m) · P(m)</w:t>
      </w:r>
    </w:p>
    <w:p>
      <w:pPr>
        <w:spacing w:after="100"/>
      </w:pPr>
      <w:r>
        <w:rPr>
          <w:b/>
          <w:bCs/>
        </w:rPr>
        <w:t xml:space="preserve">Prior Distribution: </w:t>
      </w:r>
      <w:r>
        <w:t xml:space="preserve">Beta prior on methylation levels with parameters informed by CpG density:</w:t>
      </w:r>
    </w:p>
    <w:p>
      <w:pPr>
        <w:spacing w:after="200"/>
        <w:jc w:val="center"/>
      </w:pPr>
      <w:r>
        <w:rPr>
          <w:i/>
          <w:iCs/>
          <w:sz w:val="24"/>
          <w:szCs w:val="24"/>
        </w:rPr>
        <w:t xml:space="preserve">mc ~ Beta(α, β)</w:t>
      </w:r>
    </w:p>
    <w:p>
      <w:pPr>
        <w:pStyle w:val="Heading2"/>
      </w:pPr>
      <w:r>
        <w:t xml:space="preserve">3.4 Key Assumptions</w:t>
      </w:r>
    </w:p>
    <w:p>
      <w:pPr>
        <w:spacing w:after="100"/>
      </w:pPr>
      <w:r>
        <w:t xml:space="preserve">1. All DNA methylation occurs at CpG dinucleotides (appropriate for mammals)</w:t>
      </w:r>
    </w:p>
    <w:p>
      <w:pPr>
        <w:spacing w:after="100"/>
      </w:pPr>
      <w:r>
        <w:t xml:space="preserve">2. CpG-poor regions are constitutively methylated; CpG islands are typically unmethylated</w:t>
      </w:r>
    </w:p>
    <w:p>
      <w:pPr>
        <w:spacing w:after="100"/>
      </w:pPr>
      <w:r>
        <w:t xml:space="preserve">3. No systematic fragment size biases (fragment range ~400-700 bp)</w:t>
      </w:r>
    </w:p>
    <w:p>
      <w:pPr>
        <w:spacing w:after="100"/>
      </w:pPr>
      <w:r>
        <w:t xml:space="preserve">4. CpG methylation is highly correlated within 50-100 bp windows</w:t>
      </w:r>
    </w:p>
    <w:p>
      <w:pPr>
        <w:spacing w:after="200"/>
      </w:pPr>
      <w:r>
        <w:t xml:space="preserve">5. Measurement errors are normally distributed with constant precision</w:t>
      </w:r>
    </w:p>
    <w:p>
      <w:r>
        <w:br w:type="page"/>
      </w:r>
    </w:p>
    <w:p>
      <w:pPr>
        <w:pStyle w:val="Heading1"/>
      </w:pPr>
      <w:r>
        <w:t xml:space="preserve">4. MEDIPS</w:t>
      </w:r>
    </w:p>
    <w:p>
      <w:pPr>
        <w:spacing w:after="100"/>
      </w:pPr>
      <w:r>
        <w:rPr>
          <w:b/>
          <w:bCs/>
        </w:rPr>
        <w:t xml:space="preserve">Reference: </w:t>
      </w:r>
      <w:r>
        <w:t xml:space="preserve">Lienhard et al. (2014) Bioinformatics 30:284-286; Chavez et al. (2010) Genome Research 20:1441-1450</w:t>
      </w:r>
    </w:p>
    <w:p>
      <w:pPr>
        <w:pStyle w:val="Heading2"/>
      </w:pPr>
      <w:r>
        <w:t xml:space="preserve">4.1 Method Overview</w:t>
      </w:r>
    </w:p>
    <w:p>
      <w:pPr>
        <w:spacing w:after="200"/>
      </w:pPr>
      <w:r>
        <w:t xml:space="preserve">MEDIPS is an R/Bioconductor package for genome-wide differential coverage analysis of MeDIP-seq data. It provides quality control metrics, normalization based on CpG coupling analysis, and differential methylation detection using edgeR's negative binomial framework.</w:t>
      </w:r>
    </w:p>
    <w:p>
      <w:pPr>
        <w:pStyle w:val="Heading2"/>
      </w:pPr>
      <w:r>
        <w:t xml:space="preserve">4.2 Pipeline: BAM to MEDIPS Input</w:t>
      </w:r>
    </w:p>
    <w:p>
      <w:pPr>
        <w:spacing w:after="100"/>
      </w:pPr>
      <w:r>
        <w:rPr>
          <w:b/>
          <w:bCs/>
        </w:rPr>
        <w:t xml:space="preserve">R code for MEDIPS analysis:</w:t>
      </w:r>
    </w:p>
    <w:p>
      <w:pPr>
        <w:spacing w:after="200"/>
      </w:pPr>
      <w:r>
        <w:rPr>
          <w:rFonts w:ascii="Courier New" w:cs="Courier New" w:eastAsia="Courier New" w:hAnsi="Courier New"/>
          <w:sz w:val="18"/>
          <w:szCs w:val="18"/>
        </w:rPr>
        <w:t xml:space="preserve">library(MEDIPS)
library(BSgenome.Hsapiens.UCSC.hg38)
# Create MEDIPS SET from BAM
MSet &lt;- MEDIPS.createSet(
  file = "sample.dedup.bam",
  BSgenome = "BSgenome.Hsapiens.UCSC.hg38",
  extend = 300,        # Fragment extension
  shift = 0,
  uniq = 1e-3,         # Remove duplicates
  window_size = 100    # Genomic window size
)
# Create CpG coupling set for normalization
CSet &lt;- MEDIPS.couplingVector(
  pattern = "CG",
  refObj = MSet
)</w:t>
      </w:r>
    </w:p>
    <w:p>
      <w:pPr>
        <w:pStyle w:val="Heading2"/>
      </w:pPr>
      <w:r>
        <w:t xml:space="preserve">4.3 Statistical Model</w:t>
      </w:r>
    </w:p>
    <w:p>
      <w:pPr>
        <w:spacing w:after="100"/>
      </w:pPr>
      <w:r>
        <w:rPr>
          <w:b/>
          <w:bCs/>
        </w:rPr>
        <w:t xml:space="preserve">CpG Coupling Normalization (Relative Methylation Score):</w:t>
      </w:r>
    </w:p>
    <w:p>
      <w:pPr>
        <w:spacing w:after="200"/>
        <w:jc w:val="center"/>
      </w:pPr>
      <w:r>
        <w:rPr>
          <w:i/>
          <w:iCs/>
          <w:sz w:val="24"/>
          <w:szCs w:val="24"/>
        </w:rPr>
        <w:t xml:space="preserve">RMS = (counts / total_counts × 10⁶) / CpG_coupling</w:t>
      </w:r>
    </w:p>
    <w:p>
      <w:pPr>
        <w:spacing w:after="200"/>
      </w:pPr>
      <w:r>
        <w:t xml:space="preserve">The CpG coupling factor represents the expected number of CpGs covered by fragments overlapping each genomic window, correcting for density-dependent enrichment bias.</w:t>
      </w:r>
    </w:p>
    <w:p>
      <w:pPr>
        <w:spacing w:after="100"/>
      </w:pPr>
      <w:r>
        <w:rPr>
          <w:b/>
          <w:bCs/>
        </w:rPr>
        <w:t xml:space="preserve">Differential Coverage Model (edgeR integration):</w:t>
      </w:r>
    </w:p>
    <w:p>
      <w:pPr>
        <w:spacing w:after="100"/>
      </w:pPr>
      <w:r>
        <w:t xml:space="preserve">Read counts per window follow a negative binomial distribution:</w:t>
      </w:r>
    </w:p>
    <w:p>
      <w:pPr>
        <w:spacing w:after="200"/>
        <w:jc w:val="center"/>
      </w:pPr>
      <w:r>
        <w:rPr>
          <w:i/>
          <w:iCs/>
          <w:sz w:val="24"/>
          <w:szCs w:val="24"/>
        </w:rPr>
        <w:t xml:space="preserve">Ygi ~ NB(μgi, φg)</w:t>
      </w:r>
    </w:p>
    <w:p>
      <w:pPr>
        <w:spacing w:after="100"/>
      </w:pPr>
      <w:r>
        <w:rPr>
          <w:b/>
          <w:bCs/>
        </w:rPr>
        <w:t xml:space="preserve">where:</w:t>
      </w:r>
    </w:p>
    <w:p>
      <w:pPr>
        <w:spacing w:after="100"/>
      </w:pPr>
      <w:r>
        <w:t xml:space="preserve">• Ygi = observed counts for window g in sample i</w:t>
      </w:r>
    </w:p>
    <w:p>
      <w:pPr>
        <w:spacing w:after="100"/>
      </w:pPr>
      <w:r>
        <w:t xml:space="preserve">• μgi = expected mean count</w:t>
      </w:r>
    </w:p>
    <w:p>
      <w:pPr>
        <w:spacing w:after="200"/>
      </w:pPr>
      <w:r>
        <w:t xml:space="preserve">• φg = dispersion parameter for window g</w:t>
      </w:r>
    </w:p>
    <w:p>
      <w:pPr>
        <w:spacing w:after="100"/>
      </w:pPr>
      <w:r>
        <w:rPr>
          <w:b/>
          <w:bCs/>
        </w:rPr>
        <w:t xml:space="preserve">GLM for differential analysis:</w:t>
      </w:r>
    </w:p>
    <w:p>
      <w:pPr>
        <w:spacing w:after="200"/>
        <w:jc w:val="center"/>
      </w:pPr>
      <w:r>
        <w:rPr>
          <w:i/>
          <w:iCs/>
          <w:sz w:val="24"/>
          <w:szCs w:val="24"/>
        </w:rPr>
        <w:t xml:space="preserve">log(μgi) = log(Ni) + Xᵀβg</w:t>
      </w:r>
    </w:p>
    <w:p>
      <w:pPr>
        <w:spacing w:after="100"/>
      </w:pPr>
      <w:r>
        <w:t xml:space="preserve">• Ni = library size normalization factor (TMM)</w:t>
      </w:r>
    </w:p>
    <w:p>
      <w:pPr>
        <w:spacing w:after="100"/>
      </w:pPr>
      <w:r>
        <w:t xml:space="preserve">• X = design matrix encoding experimental conditions</w:t>
      </w:r>
    </w:p>
    <w:p>
      <w:pPr>
        <w:spacing w:after="200"/>
      </w:pPr>
      <w:r>
        <w:t xml:space="preserve">• βg = coefficients representing log fold-changes</w:t>
      </w:r>
    </w:p>
    <w:p>
      <w:pPr>
        <w:pStyle w:val="Heading2"/>
      </w:pPr>
      <w:r>
        <w:t xml:space="preserve">4.4 Key Assumptions</w:t>
      </w:r>
    </w:p>
    <w:p>
      <w:pPr>
        <w:spacing w:after="100"/>
      </w:pPr>
      <w:r>
        <w:t xml:space="preserve">1. Read counts follow negative binomial distribution with window-specific dispersion</w:t>
      </w:r>
    </w:p>
    <w:p>
      <w:pPr>
        <w:spacing w:after="100"/>
      </w:pPr>
      <w:r>
        <w:t xml:space="preserve">2. CpG coupling adequately captures density-dependent enrichment bias</w:t>
      </w:r>
    </w:p>
    <w:p>
      <w:pPr>
        <w:spacing w:after="100"/>
      </w:pPr>
      <w:r>
        <w:t xml:space="preserve">3. TMM normalization accounts for compositional biases between libraries</w:t>
      </w:r>
    </w:p>
    <w:p>
      <w:pPr>
        <w:spacing w:after="200"/>
      </w:pPr>
      <w:r>
        <w:t xml:space="preserve">4. No systematic copy number variation between samples (or CNV is explicitly modeled)</w:t>
      </w:r>
    </w:p>
    <w:p>
      <w:r>
        <w:br w:type="page"/>
      </w:r>
    </w:p>
    <w:p>
      <w:pPr>
        <w:pStyle w:val="Heading1"/>
      </w:pPr>
      <w:r>
        <w:t xml:space="preserve">5. QSEA (Quantitative Sequencing Enrichment Analysis)</w:t>
      </w:r>
    </w:p>
    <w:p>
      <w:pPr>
        <w:spacing w:after="100"/>
      </w:pPr>
      <w:r>
        <w:rPr>
          <w:b/>
          <w:bCs/>
        </w:rPr>
        <w:t xml:space="preserve">Reference: </w:t>
      </w:r>
      <w:r>
        <w:t xml:space="preserve">Lienhard et al. (2017) Nucleic Acids Research 45:e44</w:t>
      </w:r>
    </w:p>
    <w:p>
      <w:pPr>
        <w:pStyle w:val="Heading2"/>
      </w:pPr>
      <w:r>
        <w:t xml:space="preserve">5.1 Method Overview</w:t>
      </w:r>
    </w:p>
    <w:p>
      <w:pPr>
        <w:spacing w:after="200"/>
      </w:pPr>
      <w:r>
        <w:t xml:space="preserve">QSEA extends MEDIPS with a Bayesian statistical model that transforms enrichment read counts to absolute methylation levels. It incorporates explicit modeling of background reads and signal saturation at high CpG densities, with optional calibration using bisulfite sequencing data.</w:t>
      </w:r>
    </w:p>
    <w:p>
      <w:pPr>
        <w:pStyle w:val="Heading2"/>
      </w:pPr>
      <w:r>
        <w:t xml:space="preserve">5.2 Pipeline: BAM to QSEA Input</w:t>
      </w:r>
    </w:p>
    <w:p>
      <w:pPr>
        <w:spacing w:after="200"/>
      </w:pPr>
      <w:r>
        <w:rPr>
          <w:rFonts w:ascii="Courier New" w:cs="Courier New" w:eastAsia="Courier New" w:hAnsi="Courier New"/>
          <w:sz w:val="18"/>
          <w:szCs w:val="18"/>
        </w:rPr>
        <w:t xml:space="preserve">library(qsea)
library(BSgenome.Hsapiens.UCSC.hg38)
# Define sample table
samples &lt;- data.frame(
  sample_name = c("tumor1", "normal1"),
  file_name = c("tumor1.bam", "normal1.bam"),
  group = c("tumor", "normal")
)
# Create qseaSet
qseaSet &lt;- createQseaSet(
  sampleTable = samples,
  BSgenome = "BSgenome.Hsapiens.UCSC.hg38",
  window_size = 500
)
# Add CNV estimates (from input libraries or MeDIP)
qseaSet &lt;- addCNV(qseaSet, file_name = "file_name", window_size = 2e6)
# Add library size factors
qseaSet &lt;- addLibraryFactors(qseaSet)
# Add CpG enrichment parameters
qseaSet &lt;- addEnrichmentParameters(qseaSet)</w:t>
      </w:r>
    </w:p>
    <w:p>
      <w:pPr>
        <w:pStyle w:val="Heading2"/>
      </w:pPr>
      <w:r>
        <w:t xml:space="preserve">5.3 Statistical Model</w:t>
      </w:r>
    </w:p>
    <w:p>
      <w:pPr>
        <w:spacing w:after="100"/>
      </w:pPr>
      <w:r>
        <w:rPr>
          <w:b/>
          <w:bCs/>
        </w:rPr>
        <w:t xml:space="preserve">Poisson Model for Read Counts:</w:t>
      </w:r>
    </w:p>
    <w:p>
      <w:pPr>
        <w:spacing w:after="200"/>
        <w:jc w:val="center"/>
      </w:pPr>
      <w:r>
        <w:rPr>
          <w:i/>
          <w:iCs/>
          <w:sz w:val="24"/>
          <w:szCs w:val="24"/>
        </w:rPr>
        <w:t xml:space="preserve">Nw ~ Poisson(λw)</w:t>
      </w:r>
    </w:p>
    <w:p>
      <w:pPr>
        <w:spacing w:after="100"/>
      </w:pPr>
      <w:r>
        <w:rPr>
          <w:b/>
          <w:bCs/>
        </w:rPr>
        <w:t xml:space="preserve">Expected Signal Model:</w:t>
      </w:r>
    </w:p>
    <w:p>
      <w:pPr>
        <w:spacing w:after="200"/>
        <w:jc w:val="center"/>
      </w:pPr>
      <w:r>
        <w:rPr>
          <w:i/>
          <w:iCs/>
          <w:sz w:val="24"/>
          <w:szCs w:val="24"/>
        </w:rPr>
        <w:t xml:space="preserve">λw = (offset + fCpG(dw) · βw) · Nlib · CNVw</w:t>
      </w:r>
    </w:p>
    <w:p>
      <w:pPr>
        <w:spacing w:after="100"/>
      </w:pPr>
      <w:r>
        <w:rPr>
          <w:b/>
          <w:bCs/>
        </w:rPr>
        <w:t xml:space="preserve">where:</w:t>
      </w:r>
    </w:p>
    <w:p>
      <w:pPr>
        <w:spacing w:after="100"/>
      </w:pPr>
      <w:r>
        <w:t xml:space="preserve">• offset = background read count (non-specific binding)</w:t>
      </w:r>
    </w:p>
    <w:p>
      <w:pPr>
        <w:spacing w:after="100"/>
      </w:pPr>
      <w:r>
        <w:t xml:space="preserve">• fCpG(dw) = sigmoidal function modeling CpG density-dependent enrichment</w:t>
      </w:r>
    </w:p>
    <w:p>
      <w:pPr>
        <w:spacing w:after="100"/>
      </w:pPr>
      <w:r>
        <w:t xml:space="preserve">• dw = average CpG density in window w</w:t>
      </w:r>
    </w:p>
    <w:p>
      <w:pPr>
        <w:spacing w:after="100"/>
      </w:pPr>
      <w:r>
        <w:t xml:space="preserve">• βw ∈ [0,1] = true methylation level</w:t>
      </w:r>
    </w:p>
    <w:p>
      <w:pPr>
        <w:spacing w:after="100"/>
      </w:pPr>
      <w:r>
        <w:t xml:space="preserve">• Nlib = library size normalization factor</w:t>
      </w:r>
    </w:p>
    <w:p>
      <w:pPr>
        <w:spacing w:after="200"/>
      </w:pPr>
      <w:r>
        <w:t xml:space="preserve">• CNVw = copy number correction factor</w:t>
      </w:r>
    </w:p>
    <w:p>
      <w:pPr>
        <w:spacing w:after="100"/>
      </w:pPr>
      <w:r>
        <w:rPr>
          <w:b/>
          <w:bCs/>
        </w:rPr>
        <w:t xml:space="preserve">Sigmoidal Enrichment Function:</w:t>
      </w:r>
    </w:p>
    <w:p>
      <w:pPr>
        <w:spacing w:after="200"/>
        <w:jc w:val="center"/>
      </w:pPr>
      <w:r>
        <w:rPr>
          <w:i/>
          <w:iCs/>
          <w:sz w:val="24"/>
          <w:szCs w:val="24"/>
        </w:rPr>
        <w:t xml:space="preserve">fCpG(d) = fmax / (1 + exp(-k(d - d₀)))</w:t>
      </w:r>
    </w:p>
    <w:p>
      <w:pPr>
        <w:spacing w:after="200"/>
      </w:pPr>
      <w:r>
        <w:t xml:space="preserve">This captures the saturation of enrichment signal at high CpG densities, where fmax is the maximum enrichment, k is the slope, and d₀ is the inflection point.</w:t>
      </w:r>
    </w:p>
    <w:p>
      <w:pPr>
        <w:spacing w:after="100"/>
      </w:pPr>
      <w:r>
        <w:rPr>
          <w:b/>
          <w:bCs/>
        </w:rPr>
        <w:t xml:space="preserve">Bayesian Methylation Estimation:</w:t>
      </w:r>
    </w:p>
    <w:p>
      <w:pPr>
        <w:spacing w:after="200"/>
        <w:jc w:val="center"/>
      </w:pPr>
      <w:r>
        <w:rPr>
          <w:i/>
          <w:iCs/>
          <w:sz w:val="24"/>
          <w:szCs w:val="24"/>
        </w:rPr>
        <w:t xml:space="preserve">P(βw | Nw) ∝ P(Nw | βw) · P(βw)</w:t>
      </w:r>
    </w:p>
    <w:p>
      <w:pPr>
        <w:spacing w:after="200"/>
      </w:pPr>
      <w:r>
        <w:t xml:space="preserve">The posterior mode provides the methylation estimate with uncertainty quantification.</w:t>
      </w:r>
    </w:p>
    <w:p>
      <w:pPr>
        <w:pStyle w:val="Heading2"/>
      </w:pPr>
      <w:r>
        <w:t xml:space="preserve">5.4 Key Assumptions</w:t>
      </w:r>
    </w:p>
    <w:p>
      <w:pPr>
        <w:spacing w:after="100"/>
      </w:pPr>
      <w:r>
        <w:t xml:space="preserve">1. Read counts follow Poisson distribution with window-specific rate</w:t>
      </w:r>
    </w:p>
    <w:p>
      <w:pPr>
        <w:spacing w:after="100"/>
      </w:pPr>
      <w:r>
        <w:t xml:space="preserve">2. Background reads are constant across the genome</w:t>
      </w:r>
    </w:p>
    <w:p>
      <w:pPr>
        <w:spacing w:after="100"/>
      </w:pPr>
      <w:r>
        <w:t xml:space="preserve">3. Enrichment saturates sigmoidally with CpG density</w:t>
      </w:r>
    </w:p>
    <w:p>
      <w:pPr>
        <w:spacing w:after="200"/>
      </w:pPr>
      <w:r>
        <w:t xml:space="preserve">4. CNV effects are multiplicative and can be estimated from input or MeDIP data</w:t>
      </w:r>
    </w:p>
    <w:p>
      <w:r>
        <w:br w:type="page"/>
      </w:r>
    </w:p>
    <w:p>
      <w:pPr>
        <w:pStyle w:val="Heading1"/>
      </w:pPr>
      <w:r>
        <w:t xml:space="preserve">6. MeDEStrand</w:t>
      </w:r>
    </w:p>
    <w:p>
      <w:pPr>
        <w:spacing w:after="100"/>
      </w:pPr>
      <w:r>
        <w:rPr>
          <w:b/>
          <w:bCs/>
        </w:rPr>
        <w:t xml:space="preserve">Reference: </w:t>
      </w:r>
      <w:r>
        <w:t xml:space="preserve">Xu et al. (2018) BMC Bioinformatics 19:574</w:t>
      </w:r>
    </w:p>
    <w:p>
      <w:pPr>
        <w:pStyle w:val="Heading2"/>
      </w:pPr>
      <w:r>
        <w:t xml:space="preserve">6.1 Method Overview</w:t>
      </w:r>
    </w:p>
    <w:p>
      <w:pPr>
        <w:spacing w:after="200"/>
      </w:pPr>
      <w:r>
        <w:t xml:space="preserve">MeDEStrand improves upon MEDIPS by: (1) using a logistic regression model to estimate CpG density bias, and (2) processing reads mapped to positive and negative DNA strands separately to account for asymmetric CpG methylation patterns.</w:t>
      </w:r>
    </w:p>
    <w:p>
      <w:pPr>
        <w:pStyle w:val="Heading2"/>
      </w:pPr>
      <w:r>
        <w:t xml:space="preserve">6.2 Pipeline: BAM to MeDEStrand Input</w:t>
      </w:r>
    </w:p>
    <w:p>
      <w:pPr>
        <w:spacing w:after="200"/>
      </w:pPr>
      <w:r>
        <w:rPr>
          <w:rFonts w:ascii="Courier New" w:cs="Courier New" w:eastAsia="Courier New" w:hAnsi="Courier New"/>
          <w:sz w:val="18"/>
          <w:szCs w:val="18"/>
        </w:rPr>
        <w:t xml:space="preserve">library(MeDEStrand)
# Create MeDEStrand SET
MSet &lt;- MeDEStrand.createSet(
  file = "sample.dedup.bam",
  BSgenome = "BSgenome.Hsapiens.UCSC.hg38",
  extend = 300,
  window_size = 100
)
# Calculate methylation with strand-specific processing
meth &lt;- MeDEStrand.meth(
  MSet,
  CpG.pattern = "CG"
)</w:t>
      </w:r>
    </w:p>
    <w:p>
      <w:pPr>
        <w:pStyle w:val="Heading2"/>
      </w:pPr>
      <w:r>
        <w:t xml:space="preserve">6.3 Statistical Model</w:t>
      </w:r>
    </w:p>
    <w:p>
      <w:pPr>
        <w:spacing w:after="100"/>
      </w:pPr>
      <w:r>
        <w:rPr>
          <w:b/>
          <w:bCs/>
        </w:rPr>
        <w:t xml:space="preserve">Strand-Specific Read Processing:</w:t>
      </w:r>
    </w:p>
    <w:p>
      <w:pPr>
        <w:spacing w:after="100"/>
      </w:pPr>
      <w:r>
        <w:t xml:space="preserve">Reads are separated by strand alignment:</w:t>
      </w:r>
    </w:p>
    <w:p>
      <w:pPr>
        <w:spacing w:after="200"/>
        <w:jc w:val="center"/>
      </w:pPr>
      <w:r>
        <w:rPr>
          <w:i/>
          <w:iCs/>
          <w:sz w:val="24"/>
          <w:szCs w:val="24"/>
        </w:rPr>
        <w:t xml:space="preserve">Rw = Rw⁺ + Rw⁻</w:t>
      </w:r>
    </w:p>
    <w:p>
      <w:pPr>
        <w:spacing w:after="200"/>
      </w:pPr>
      <w:r>
        <w:t xml:space="preserve">where Rw⁺ and Rw⁻ are read counts on positive and negative strands for window w.</w:t>
      </w:r>
    </w:p>
    <w:p>
      <w:pPr>
        <w:spacing w:after="100"/>
      </w:pPr>
      <w:r>
        <w:rPr>
          <w:b/>
          <w:bCs/>
        </w:rPr>
        <w:t xml:space="preserve">Logistic Regression for CpG Bias Estimation:</w:t>
      </w:r>
    </w:p>
    <w:p>
      <w:pPr>
        <w:spacing w:after="200"/>
        <w:jc w:val="center"/>
      </w:pPr>
      <w:r>
        <w:rPr>
          <w:i/>
          <w:iCs/>
          <w:sz w:val="24"/>
          <w:szCs w:val="24"/>
        </w:rPr>
        <w:t xml:space="preserve">E[R] = Rmax / (1 + exp(-k(d - d₀)))</w:t>
      </w:r>
    </w:p>
    <w:p>
      <w:pPr>
        <w:spacing w:after="100"/>
      </w:pPr>
      <w:r>
        <w:t xml:space="preserve">The sigmoid function parameters are estimated separately for each strand using reads from low CpG density regions (assumed fully methylated):</w:t>
      </w:r>
    </w:p>
    <w:p>
      <w:pPr>
        <w:spacing w:after="100"/>
      </w:pPr>
      <w:r>
        <w:t xml:space="preserve">• Rmax = upper asymptote (maximum expected reads at full methylation)</w:t>
      </w:r>
    </w:p>
    <w:p>
      <w:pPr>
        <w:spacing w:after="100"/>
      </w:pPr>
      <w:r>
        <w:t xml:space="preserve">• k = slope parameter controlling transition rate</w:t>
      </w:r>
    </w:p>
    <w:p>
      <w:pPr>
        <w:spacing w:after="200"/>
      </w:pPr>
      <w:r>
        <w:t xml:space="preserve">• d₀ = CpG density at inflection point</w:t>
      </w:r>
    </w:p>
    <w:p>
      <w:pPr>
        <w:spacing w:after="100"/>
      </w:pPr>
      <w:r>
        <w:rPr>
          <w:b/>
          <w:bCs/>
        </w:rPr>
        <w:t xml:space="preserve">Absolute Methylation Estimation:</w:t>
      </w:r>
    </w:p>
    <w:p>
      <w:pPr>
        <w:spacing w:after="200"/>
        <w:jc w:val="center"/>
      </w:pPr>
      <w:r>
        <w:rPr>
          <w:i/>
          <w:iCs/>
          <w:sz w:val="24"/>
          <w:szCs w:val="24"/>
        </w:rPr>
        <w:t xml:space="preserve">βw = Rw,obs / f(dw)</w:t>
      </w:r>
    </w:p>
    <w:p>
      <w:pPr>
        <w:spacing w:after="200"/>
      </w:pPr>
      <w:r>
        <w:t xml:space="preserve">where f(dw) is the expected read count at full methylation for the local CpG density.</w:t>
      </w:r>
    </w:p>
    <w:p>
      <w:pPr>
        <w:pStyle w:val="Heading2"/>
      </w:pPr>
      <w:r>
        <w:t xml:space="preserve">6.4 Key Assumptions</w:t>
      </w:r>
    </w:p>
    <w:p>
      <w:pPr>
        <w:spacing w:after="100"/>
      </w:pPr>
      <w:r>
        <w:t xml:space="preserve">1. CpG methylation can be asymmetric between DNA strands</w:t>
      </w:r>
    </w:p>
    <w:p>
      <w:pPr>
        <w:spacing w:after="100"/>
      </w:pPr>
      <w:r>
        <w:t xml:space="preserve">2. Low CpG density regions are fully methylated (used for calibration)</w:t>
      </w:r>
    </w:p>
    <w:p>
      <w:pPr>
        <w:spacing w:after="100"/>
      </w:pPr>
      <w:r>
        <w:t xml:space="preserve">3. Sigmoidal relationship between CpG density and enrichment captures saturation</w:t>
      </w:r>
    </w:p>
    <w:p>
      <w:pPr>
        <w:spacing w:after="200"/>
      </w:pPr>
      <w:r>
        <w:t xml:space="preserve">4. Strand-specific biases are consistent across genomic regions</w:t>
      </w:r>
    </w:p>
    <w:p>
      <w:r>
        <w:br w:type="page"/>
      </w:r>
    </w:p>
    <w:p>
      <w:pPr>
        <w:pStyle w:val="Heading1"/>
      </w:pPr>
      <w:r>
        <w:t xml:space="preserve">7. MEDIPIPE</w:t>
      </w:r>
    </w:p>
    <w:p>
      <w:pPr>
        <w:spacing w:after="100"/>
      </w:pPr>
      <w:r>
        <w:rPr>
          <w:b/>
          <w:bCs/>
        </w:rPr>
        <w:t xml:space="preserve">Reference: </w:t>
      </w:r>
      <w:r>
        <w:t xml:space="preserve">Zhu et al. (2023) Bioinformatics 39:btad423</w:t>
      </w:r>
    </w:p>
    <w:p>
      <w:pPr>
        <w:pStyle w:val="Heading2"/>
      </w:pPr>
      <w:r>
        <w:t xml:space="preserve">7.1 Method Overview</w:t>
      </w:r>
    </w:p>
    <w:p>
      <w:pPr>
        <w:spacing w:after="200"/>
      </w:pPr>
      <w:r>
        <w:t xml:space="preserve">MEDIPIPE is an automated Snakemake pipeline for cell-free MeDIP-seq (cfMeDIP-seq) data, providing end-to-end quality control, methylation quantification, and sample aggregation. It integrates multiple existing tools with customizable experimental settings for large-scale studies.</w:t>
      </w:r>
    </w:p>
    <w:p>
      <w:pPr>
        <w:pStyle w:val="Heading2"/>
      </w:pPr>
      <w:r>
        <w:t xml:space="preserve">7.2 Pipeline Architecture</w:t>
      </w:r>
    </w:p>
    <w:p>
      <w:pPr>
        <w:spacing w:after="200"/>
      </w:pPr>
      <w:r>
        <w:rPr>
          <w:b/>
          <w:bCs/>
        </w:rPr>
        <w:t xml:space="preserve">Module 1: Read Trimming and QC</w:t>
      </w:r>
    </w:p>
    <w:p>
      <w:pPr>
        <w:spacing w:after="100"/>
      </w:pPr>
      <w:r>
        <w:t xml:space="preserve">• FASTQ quality assessment with FastQC</w:t>
      </w:r>
    </w:p>
    <w:p>
      <w:pPr>
        <w:spacing w:after="100"/>
      </w:pPr>
      <w:r>
        <w:t xml:space="preserve">• Adapter trimming with Trim Galore</w:t>
      </w:r>
    </w:p>
    <w:p>
      <w:pPr>
        <w:spacing w:after="200"/>
      </w:pPr>
      <w:r>
        <w:t xml:space="preserve">• UMI extraction (if applicable)</w:t>
      </w:r>
    </w:p>
    <w:p>
      <w:pPr>
        <w:spacing w:after="200"/>
      </w:pPr>
      <w:r>
        <w:rPr>
          <w:b/>
          <w:bCs/>
        </w:rPr>
        <w:t xml:space="preserve">Module 2: Alignment and QC</w:t>
      </w:r>
    </w:p>
    <w:p>
      <w:pPr>
        <w:spacing w:after="100"/>
      </w:pPr>
      <w:r>
        <w:t xml:space="preserve">• Alignment with BWA-MEM</w:t>
      </w:r>
    </w:p>
    <w:p>
      <w:pPr>
        <w:spacing w:after="100"/>
      </w:pPr>
      <w:r>
        <w:t xml:space="preserve">• Duplicate marking/removal</w:t>
      </w:r>
    </w:p>
    <w:p>
      <w:pPr>
        <w:spacing w:after="200"/>
      </w:pPr>
      <w:r>
        <w:t xml:space="preserve">• Alignment statistics with SAMtools</w:t>
      </w:r>
    </w:p>
    <w:p>
      <w:pPr>
        <w:spacing w:after="200"/>
      </w:pPr>
      <w:r>
        <w:rPr>
          <w:b/>
          <w:bCs/>
        </w:rPr>
        <w:t xml:space="preserve">Module 3: Methylation Quantification</w:t>
      </w:r>
    </w:p>
    <w:p>
      <w:pPr>
        <w:spacing w:after="100"/>
      </w:pPr>
      <w:r>
        <w:t xml:space="preserve">• Window-based read counting</w:t>
      </w:r>
    </w:p>
    <w:p>
      <w:pPr>
        <w:spacing w:after="100"/>
      </w:pPr>
      <w:r>
        <w:t xml:space="preserve">• CpG density calculation</w:t>
      </w:r>
    </w:p>
    <w:p>
      <w:pPr>
        <w:spacing w:after="200"/>
      </w:pPr>
      <w:r>
        <w:t xml:space="preserve">• MEDIPS/QSEA-based normalization</w:t>
      </w:r>
    </w:p>
    <w:p>
      <w:pPr>
        <w:spacing w:after="200"/>
      </w:pPr>
      <w:r>
        <w:rPr>
          <w:b/>
          <w:bCs/>
        </w:rPr>
        <w:t xml:space="preserve">Module 4: Data Aggregation</w:t>
      </w:r>
    </w:p>
    <w:p>
      <w:pPr>
        <w:spacing w:after="100"/>
      </w:pPr>
      <w:r>
        <w:t xml:space="preserve">• Multi-sample aggregation</w:t>
      </w:r>
    </w:p>
    <w:p>
      <w:pPr>
        <w:spacing w:after="200"/>
      </w:pPr>
      <w:r>
        <w:t xml:space="preserve">• Quality filtering</w:t>
      </w:r>
    </w:p>
    <w:p>
      <w:pPr>
        <w:pStyle w:val="Heading2"/>
      </w:pPr>
      <w:r>
        <w:t xml:space="preserve">7.3 Configuration</w:t>
      </w:r>
    </w:p>
    <w:p>
      <w:pPr>
        <w:spacing w:after="200"/>
      </w:pPr>
      <w:r>
        <w:rPr>
          <w:rFonts w:ascii="Courier New" w:cs="Courier New" w:eastAsia="Courier New" w:hAnsi="Courier New"/>
          <w:sz w:val="18"/>
          <w:szCs w:val="18"/>
        </w:rPr>
        <w:t xml:space="preserve"># YAML configuration file
samples:
  sample1: /path/to/sample1_R1.fq.gz
  sample2: /path/to/sample2_R1.fq.gz
reference:
  genome: /path/to/hg38.fa
  index: /path/to/bwa_index
parameters:
  window_size: 300
  extend: 300
  umi_enabled: true
  spike_in: true</w:t>
      </w:r>
    </w:p>
    <w:p>
      <w:r>
        <w:br w:type="page"/>
      </w:r>
    </w:p>
    <w:p>
      <w:pPr>
        <w:pStyle w:val="Heading1"/>
      </w:pPr>
      <w:r>
        <w:t xml:space="preserve">8. GLMnet Classification for Methylation Data</w:t>
      </w:r>
    </w:p>
    <w:p>
      <w:pPr>
        <w:spacing w:after="100"/>
      </w:pPr>
      <w:r>
        <w:rPr>
          <w:b/>
          <w:bCs/>
        </w:rPr>
        <w:t xml:space="preserve">Reference: </w:t>
      </w:r>
      <w:r>
        <w:t xml:space="preserve">Friedman et al. (2010) Journal of Statistical Software 33:1-22</w:t>
      </w:r>
    </w:p>
    <w:p>
      <w:pPr>
        <w:pStyle w:val="Heading2"/>
      </w:pPr>
      <w:r>
        <w:t xml:space="preserve">8.1 Method Overview</w:t>
      </w:r>
    </w:p>
    <w:p>
      <w:pPr>
        <w:spacing w:after="200"/>
      </w:pPr>
      <w:r>
        <w:t xml:space="preserve">GLMnet provides regularized generalized linear models (elastic net) for high-dimensional methylation data analysis. It enables: (1) feature selection to identify differentially methylated regions, (2) classification models for disease prediction, and (3) age prediction (epigenetic clocks).</w:t>
      </w:r>
    </w:p>
    <w:p>
      <w:pPr>
        <w:pStyle w:val="Heading2"/>
      </w:pPr>
      <w:r>
        <w:t xml:space="preserve">8.2 Pipeline: Methylation Matrix to GLMnet Input</w:t>
      </w:r>
    </w:p>
    <w:p>
      <w:pPr>
        <w:spacing w:after="200"/>
      </w:pPr>
      <w:r>
        <w:rPr>
          <w:rFonts w:ascii="Courier New" w:cs="Courier New" w:eastAsia="Courier New" w:hAnsi="Courier New"/>
          <w:sz w:val="18"/>
          <w:szCs w:val="18"/>
        </w:rPr>
        <w:t xml:space="preserve">library(glmnet)
# Prepare methylation matrix (windows × samples)
# X: n samples × p windows matrix
# y: response vector (class labels or continuous outcome)
# Feature scaling
X_scaled &lt;- scale(X)
# Remove near-zero variance features
nzv &lt;- nearZeroVar(X_scaled)
X_filtered &lt;- X_scaled[, -nzv]
# Cross-validated elastic net
cv_fit &lt;- cv.glmnet(
  x = X_filtered,
  y = y,
  family = "binomial",  # or "multinomial", "gaussian"
  alpha = 0.5,           # Elastic net mixing (0=ridge, 1=lasso)
  nfolds = 10
)</w:t>
      </w:r>
    </w:p>
    <w:p>
      <w:pPr>
        <w:pStyle w:val="Heading2"/>
      </w:pPr>
      <w:r>
        <w:t xml:space="preserve">8.3 Statistical Model</w:t>
      </w:r>
    </w:p>
    <w:p>
      <w:pPr>
        <w:spacing w:after="100"/>
      </w:pPr>
      <w:r>
        <w:rPr>
          <w:b/>
          <w:bCs/>
        </w:rPr>
        <w:t xml:space="preserve">Elastic Net Objective Function:</w:t>
      </w:r>
    </w:p>
    <w:p>
      <w:pPr>
        <w:spacing w:after="200"/>
        <w:jc w:val="center"/>
      </w:pPr>
      <w:r>
        <w:rPr>
          <w:i/>
          <w:iCs/>
          <w:sz w:val="24"/>
          <w:szCs w:val="24"/>
        </w:rPr>
        <w:t xml:space="preserve">min(β₀,β) { -l(β₀, β) + λ[(1-α)/2 ||β||₂² + α||β||₁] }</w:t>
      </w:r>
    </w:p>
    <w:p>
      <w:pPr>
        <w:spacing w:after="100"/>
      </w:pPr>
      <w:r>
        <w:rPr>
          <w:b/>
          <w:bCs/>
        </w:rPr>
        <w:t xml:space="preserve">where:</w:t>
      </w:r>
    </w:p>
    <w:p>
      <w:pPr>
        <w:spacing w:after="100"/>
      </w:pPr>
      <w:r>
        <w:t xml:space="preserve">• l(β₀, β) = log-likelihood for the GLM family</w:t>
      </w:r>
    </w:p>
    <w:p>
      <w:pPr>
        <w:spacing w:after="100"/>
      </w:pPr>
      <w:r>
        <w:t xml:space="preserve">• λ = regularization parameter (selected via cross-validation)</w:t>
      </w:r>
    </w:p>
    <w:p>
      <w:pPr>
        <w:spacing w:after="100"/>
      </w:pPr>
      <w:r>
        <w:t xml:space="preserve">• α ∈ [0,1] = elastic net mixing parameter</w:t>
      </w:r>
    </w:p>
    <w:p>
      <w:pPr>
        <w:spacing w:after="100"/>
      </w:pPr>
      <w:r>
        <w:t xml:space="preserve">• ||β||₁ = L1 norm (lasso penalty, promotes sparsity)</w:t>
      </w:r>
    </w:p>
    <w:p>
      <w:pPr>
        <w:spacing w:after="200"/>
      </w:pPr>
      <w:r>
        <w:t xml:space="preserve">• ||β||₂² = squared L2 norm (ridge penalty, handles collinearity)</w:t>
      </w:r>
    </w:p>
    <w:p>
      <w:pPr>
        <w:spacing w:after="100"/>
      </w:pPr>
      <w:r>
        <w:rPr>
          <w:b/>
          <w:bCs/>
        </w:rPr>
        <w:t xml:space="preserve">For Binary Classification (Logistic Regression):</w:t>
      </w:r>
    </w:p>
    <w:p>
      <w:pPr>
        <w:spacing w:after="200"/>
        <w:jc w:val="center"/>
      </w:pPr>
      <w:r>
        <w:rPr>
          <w:i/>
          <w:iCs/>
          <w:sz w:val="24"/>
          <w:szCs w:val="24"/>
        </w:rPr>
        <w:t xml:space="preserve">P(Y = 1 | X) = 1 / (1 + exp(-(β₀ + Xβ)))</w:t>
      </w:r>
    </w:p>
    <w:p>
      <w:pPr>
        <w:spacing w:after="100"/>
      </w:pPr>
      <w:r>
        <w:rPr>
          <w:b/>
          <w:bCs/>
        </w:rPr>
        <w:t xml:space="preserve">For Continuous Outcomes (Linear Regression):</w:t>
      </w:r>
    </w:p>
    <w:p>
      <w:pPr>
        <w:spacing w:after="200"/>
        <w:jc w:val="center"/>
      </w:pPr>
      <w:r>
        <w:rPr>
          <w:i/>
          <w:iCs/>
          <w:sz w:val="24"/>
          <w:szCs w:val="24"/>
        </w:rPr>
        <w:t xml:space="preserve">Y = β₀ + Xβ + ε,  ε ~ N(0, σ²)</w:t>
      </w:r>
    </w:p>
    <w:p>
      <w:pPr>
        <w:pStyle w:val="Heading2"/>
      </w:pPr>
      <w:r>
        <w:t xml:space="preserve">8.4 Key Assumptions</w:t>
      </w:r>
    </w:p>
    <w:p>
      <w:pPr>
        <w:spacing w:after="100"/>
      </w:pPr>
      <w:r>
        <w:t xml:space="preserve">1. Linear (or generalized linear) relationship between methylation and outcome</w:t>
      </w:r>
    </w:p>
    <w:p>
      <w:pPr>
        <w:spacing w:after="100"/>
      </w:pPr>
      <w:r>
        <w:t xml:space="preserve">2. Independent observations (samples)</w:t>
      </w:r>
    </w:p>
    <w:p>
      <w:pPr>
        <w:spacing w:after="100"/>
      </w:pPr>
      <w:r>
        <w:t xml:space="preserve">3. Sparsity: only a subset of CpG sites/windows are truly predictive</w:t>
      </w:r>
    </w:p>
    <w:p>
      <w:pPr>
        <w:spacing w:after="200"/>
      </w:pPr>
      <w:r>
        <w:t xml:space="preserve">4. Cross-validation provides unbiased estimate of predictive performance</w:t>
      </w:r>
    </w:p>
    <w:p>
      <w:r>
        <w:br w:type="page"/>
      </w:r>
    </w:p>
    <w:p>
      <w:pPr>
        <w:pStyle w:val="Heading1"/>
      </w:pPr>
      <w:r>
        <w:t xml:space="preserve">9. MethRaFo</w:t>
      </w:r>
    </w:p>
    <w:p>
      <w:pPr>
        <w:spacing w:after="100"/>
      </w:pPr>
      <w:r>
        <w:rPr>
          <w:b/>
          <w:bCs/>
        </w:rPr>
        <w:t xml:space="preserve">Reference: </w:t>
      </w:r>
      <w:r>
        <w:t xml:space="preserve">Ding &amp; Bar-Joseph (2017) Bioinformatics 33:3477-3479</w:t>
      </w:r>
    </w:p>
    <w:p>
      <w:pPr>
        <w:pStyle w:val="Heading2"/>
      </w:pPr>
      <w:r>
        <w:t xml:space="preserve">9.1 Method Overview</w:t>
      </w:r>
    </w:p>
    <w:p>
      <w:pPr>
        <w:spacing w:after="200"/>
      </w:pPr>
      <w:r>
        <w:t xml:space="preserve">MethRaFo uses Random Forest regression to correct MeDIP-seq data for CpG density bias and estimate absolute methylation levels. Trained on paired MeDIP-seq and bisulfite sequencing data, it achieves ~4× faster runtime with up to 20% improved accuracy over BATMAN, MEDIPS, and BayMeth.</w:t>
      </w:r>
    </w:p>
    <w:p>
      <w:pPr>
        <w:pStyle w:val="Heading2"/>
      </w:pPr>
      <w:r>
        <w:t xml:space="preserve">9.2 Pipeline: BAM to MethRaFo Input</w:t>
      </w:r>
    </w:p>
    <w:p>
      <w:pPr>
        <w:spacing w:after="200"/>
      </w:pPr>
      <w:r>
        <w:rPr>
          <w:rFonts w:ascii="Courier New" w:cs="Courier New" w:eastAsia="Courier New" w:hAnsi="Courier New"/>
          <w:sz w:val="18"/>
          <w:szCs w:val="18"/>
        </w:rPr>
        <w:t xml:space="preserve"># Python (with R wrapper available)
from methrafo import MethRaFo
# Initialize with BAM file
mrf = MethRaFo(
    bam_file="sample.dedup.bam",
    reference="hg38.fa"
)
# Calculate features
mrf.calculate_rpkm()           # Normalized read counts
mrf.calculate_cpg_density()    # Local CpG density at multiple resolutions
# Predict methylation using pre-trained model
methylation = mrf.predict(model="trained_model.pkl")
# Or train new model with BS-seq ground truth
mrf.train(
    bs_seq_methylation="ground_truth.bed",
    output_model="new_model.pkl"
)</w:t>
      </w:r>
    </w:p>
    <w:p>
      <w:pPr>
        <w:pStyle w:val="Heading2"/>
      </w:pPr>
      <w:r>
        <w:t xml:space="preserve">9.3 Statistical Model</w:t>
      </w:r>
    </w:p>
    <w:p>
      <w:pPr>
        <w:spacing w:after="100"/>
      </w:pPr>
      <w:r>
        <w:rPr>
          <w:b/>
          <w:bCs/>
        </w:rPr>
        <w:t xml:space="preserve">Feature Space:</w:t>
      </w:r>
    </w:p>
    <w:p>
      <w:pPr>
        <w:spacing w:after="200"/>
      </w:pPr>
      <w:r>
        <w:t xml:space="preserve">For each nucleotide position, two types of features are computed at multiple resolutions (window sizes):</w:t>
      </w:r>
    </w:p>
    <w:p>
      <w:pPr>
        <w:spacing w:after="100"/>
      </w:pPr>
      <w:r>
        <w:t xml:space="preserve">1. RPKM (Reads Per Kilobase per Million mapped reads)</w:t>
      </w:r>
    </w:p>
    <w:p>
      <w:pPr>
        <w:spacing w:after="200"/>
        <w:jc w:val="center"/>
      </w:pPr>
      <w:r>
        <w:rPr>
          <w:i/>
          <w:iCs/>
          <w:sz w:val="22"/>
          <w:szCs w:val="22"/>
        </w:rPr>
        <w:t xml:space="preserve">RPKM = (reads at position × 10⁹) / (total mapped reads × region length)</w:t>
      </w:r>
    </w:p>
    <w:p>
      <w:pPr>
        <w:spacing w:after="100"/>
      </w:pPr>
      <w:r>
        <w:t xml:space="preserve">2. Local CpG density at varying window sizes (e.g., 100bp, 500bp, 1000bp)</w:t>
      </w:r>
    </w:p>
    <w:p>
      <w:pPr>
        <w:spacing w:after="200"/>
        <w:jc w:val="center"/>
      </w:pPr>
      <w:r>
        <w:rPr>
          <w:i/>
          <w:iCs/>
          <w:sz w:val="22"/>
          <w:szCs w:val="22"/>
        </w:rPr>
        <w:t xml:space="preserve">d(w) = (# CpG dinucleotides in window w) / window_length</w:t>
      </w:r>
    </w:p>
    <w:p>
      <w:pPr>
        <w:spacing w:after="100"/>
      </w:pPr>
      <w:r>
        <w:rPr>
          <w:b/>
          <w:bCs/>
        </w:rPr>
        <w:t xml:space="preserve">Random Forest Regression:</w:t>
      </w:r>
    </w:p>
    <w:p>
      <w:pPr>
        <w:spacing w:after="200"/>
      </w:pPr>
      <w:r>
        <w:t xml:space="preserve">The Random Forest is an ensemble of B decision trees, each trained on a bootstrap sample:</w:t>
      </w:r>
    </w:p>
    <w:p>
      <w:pPr>
        <w:spacing w:after="200"/>
        <w:jc w:val="center"/>
      </w:pPr>
      <w:r>
        <w:rPr>
          <w:i/>
          <w:iCs/>
          <w:sz w:val="24"/>
          <w:szCs w:val="24"/>
        </w:rPr>
        <w:t xml:space="preserve">β̂(x) = (1/B) Σᵇ Tᵇ(x)</w:t>
      </w:r>
    </w:p>
    <w:p>
      <w:pPr>
        <w:spacing w:after="100"/>
      </w:pPr>
      <w:r>
        <w:rPr>
          <w:b/>
          <w:bCs/>
        </w:rPr>
        <w:t xml:space="preserve">where:</w:t>
      </w:r>
    </w:p>
    <w:p>
      <w:pPr>
        <w:spacing w:after="100"/>
      </w:pPr>
      <w:r>
        <w:t xml:space="preserve">• Tᵇ(x) = prediction from tree b for feature vector x = (RPKM, CpG densities)</w:t>
      </w:r>
    </w:p>
    <w:p>
      <w:pPr>
        <w:spacing w:after="100"/>
      </w:pPr>
      <w:r>
        <w:t xml:space="preserve">• Each tree is grown using a random subset of features at each split</w:t>
      </w:r>
    </w:p>
    <w:p>
      <w:pPr>
        <w:spacing w:after="200"/>
      </w:pPr>
      <w:r>
        <w:t xml:space="preserve">• Final prediction is the average across all trees</w:t>
      </w:r>
    </w:p>
    <w:p>
      <w:pPr>
        <w:spacing w:after="100"/>
      </w:pPr>
      <w:r>
        <w:rPr>
          <w:b/>
          <w:bCs/>
        </w:rPr>
        <w:t xml:space="preserve">Training Objective:</w:t>
      </w:r>
    </w:p>
    <w:p>
      <w:pPr>
        <w:spacing w:after="200"/>
        <w:jc w:val="center"/>
      </w:pPr>
      <w:r>
        <w:rPr>
          <w:i/>
          <w:iCs/>
          <w:sz w:val="24"/>
          <w:szCs w:val="24"/>
        </w:rPr>
        <w:t xml:space="preserve">minimize Σᵢ (βᵢ,BS - β̂ᵢ,MeDIP)²</w:t>
      </w:r>
    </w:p>
    <w:p>
      <w:pPr>
        <w:spacing w:after="200"/>
      </w:pPr>
      <w:r>
        <w:t xml:space="preserve">where βᵢ,BS is the ground truth methylation from bisulfite sequencing and β̂ᵢ,MeDIP is the predicted methylation from MeDIP-seq features.</w:t>
      </w:r>
    </w:p>
    <w:p>
      <w:pPr>
        <w:pStyle w:val="Heading2"/>
      </w:pPr>
      <w:r>
        <w:t xml:space="preserve">9.4 Key Assumptions</w:t>
      </w:r>
    </w:p>
    <w:p>
      <w:pPr>
        <w:spacing w:after="100"/>
      </w:pPr>
      <w:r>
        <w:t xml:space="preserve">1. Relationship between features (RPKM, CpG density) and methylation is learnable</w:t>
      </w:r>
    </w:p>
    <w:p>
      <w:pPr>
        <w:spacing w:after="100"/>
      </w:pPr>
      <w:r>
        <w:t xml:space="preserve">2. Training and test data come from similar biological contexts</w:t>
      </w:r>
    </w:p>
    <w:p>
      <w:pPr>
        <w:spacing w:after="100"/>
      </w:pPr>
      <w:r>
        <w:t xml:space="preserve">3. Random Forest can capture non-linear interactions between features</w:t>
      </w:r>
    </w:p>
    <w:p>
      <w:pPr>
        <w:spacing w:after="200"/>
      </w:pPr>
      <w:r>
        <w:t xml:space="preserve">4. Multi-resolution CpG density provides informative features at different scales</w:t>
      </w:r>
    </w:p>
    <w:p>
      <w:r>
        <w:br w:type="page"/>
      </w:r>
    </w:p>
    <w:p>
      <w:pPr>
        <w:pStyle w:val="Heading1"/>
      </w:pPr>
      <w:r>
        <w:t xml:space="preserve">10. Method Comparison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2400"/>
        <w:gridCol w:w="1800"/>
      </w:tblGrid>
      <w:tr>
        <w:trPr>
          <w:tblHeader/>
        </w:trPr>
        <w:tc>
          <w:tcPr>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Method</w:t>
            </w:r>
          </w:p>
        </w:tc>
        <w:tc>
          <w:tcPr>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Model Type</w:t>
            </w:r>
          </w:p>
        </w:tc>
        <w:tc>
          <w:tcPr>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CpG Bias Correction</w:t>
            </w:r>
          </w:p>
        </w:tc>
        <w:tc>
          <w:tcPr>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Key Innovation</w:t>
            </w:r>
          </w:p>
        </w:tc>
        <w:tc>
          <w:tcPr>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Output</w:t>
            </w:r>
          </w:p>
        </w:tc>
      </w:tr>
      <w:tr>
        <w:tc>
          <w:tcPr>
            <w:tcBorders>
              <w:top w:val="single" w:color="CCCCCC" w:sz="1"/>
              <w:left w:val="single" w:color="CCCCCC" w:sz="1"/>
              <w:bottom w:val="single" w:color="CCCCCC" w:sz="1"/>
              <w:right w:val="single" w:color="CCCCCC" w:sz="1"/>
            </w:tcBorders>
          </w:tcPr>
          <w:p>
            <w:r>
              <w:t xml:space="preserve">BATMAN</w:t>
            </w:r>
          </w:p>
        </w:tc>
        <w:tc>
          <w:tcPr>
            <w:tcBorders>
              <w:top w:val="single" w:color="CCCCCC" w:sz="1"/>
              <w:left w:val="single" w:color="CCCCCC" w:sz="1"/>
              <w:bottom w:val="single" w:color="CCCCCC" w:sz="1"/>
              <w:right w:val="single" w:color="CCCCCC" w:sz="1"/>
            </w:tcBorders>
          </w:tcPr>
          <w:p>
            <w:r>
              <w:t xml:space="preserve">Bayesian</w:t>
            </w:r>
          </w:p>
        </w:tc>
        <w:tc>
          <w:tcPr>
            <w:tcBorders>
              <w:top w:val="single" w:color="CCCCCC" w:sz="1"/>
              <w:left w:val="single" w:color="CCCCCC" w:sz="1"/>
              <w:bottom w:val="single" w:color="CCCCCC" w:sz="1"/>
              <w:right w:val="single" w:color="CCCCCC" w:sz="1"/>
            </w:tcBorders>
          </w:tcPr>
          <w:p>
            <w:r>
              <w:t xml:space="preserve">Coupling factor deconvolution</w:t>
            </w:r>
          </w:p>
        </w:tc>
        <w:tc>
          <w:tcPr>
            <w:tcBorders>
              <w:top w:val="single" w:color="CCCCCC" w:sz="1"/>
              <w:left w:val="single" w:color="CCCCCC" w:sz="1"/>
              <w:bottom w:val="single" w:color="CCCCCC" w:sz="1"/>
              <w:right w:val="single" w:color="CCCCCC" w:sz="1"/>
            </w:tcBorders>
          </w:tcPr>
          <w:p>
            <w:r>
              <w:t xml:space="preserve">First principled approach</w:t>
            </w:r>
          </w:p>
        </w:tc>
        <w:tc>
          <w:tcPr>
            <w:tcBorders>
              <w:top w:val="single" w:color="CCCCCC" w:sz="1"/>
              <w:left w:val="single" w:color="CCCCCC" w:sz="1"/>
              <w:bottom w:val="single" w:color="CCCCCC" w:sz="1"/>
              <w:right w:val="single" w:color="CCCCCC" w:sz="1"/>
            </w:tcBorders>
          </w:tcPr>
          <w:p>
            <w:r>
              <w:t xml:space="preserve">Absolute β</w:t>
            </w:r>
          </w:p>
        </w:tc>
      </w:tr>
      <w:tr>
        <w:tc>
          <w:tcPr>
            <w:tcBorders>
              <w:top w:val="single" w:color="CCCCCC" w:sz="1"/>
              <w:left w:val="single" w:color="CCCCCC" w:sz="1"/>
              <w:bottom w:val="single" w:color="CCCCCC" w:sz="1"/>
              <w:right w:val="single" w:color="CCCCCC" w:sz="1"/>
            </w:tcBorders>
          </w:tcPr>
          <w:p>
            <w:r>
              <w:t xml:space="preserve">MEDIPS</w:t>
            </w:r>
          </w:p>
        </w:tc>
        <w:tc>
          <w:tcPr>
            <w:tcBorders>
              <w:top w:val="single" w:color="CCCCCC" w:sz="1"/>
              <w:left w:val="single" w:color="CCCCCC" w:sz="1"/>
              <w:bottom w:val="single" w:color="CCCCCC" w:sz="1"/>
              <w:right w:val="single" w:color="CCCCCC" w:sz="1"/>
            </w:tcBorders>
          </w:tcPr>
          <w:p>
            <w:r>
              <w:t xml:space="preserve">NB GLM (edgeR)</w:t>
            </w:r>
          </w:p>
        </w:tc>
        <w:tc>
          <w:tcPr>
            <w:tcBorders>
              <w:top w:val="single" w:color="CCCCCC" w:sz="1"/>
              <w:left w:val="single" w:color="CCCCCC" w:sz="1"/>
              <w:bottom w:val="single" w:color="CCCCCC" w:sz="1"/>
              <w:right w:val="single" w:color="CCCCCC" w:sz="1"/>
            </w:tcBorders>
          </w:tcPr>
          <w:p>
            <w:r>
              <w:t xml:space="preserve">CpG coupling score</w:t>
            </w:r>
          </w:p>
        </w:tc>
        <w:tc>
          <w:tcPr>
            <w:tcBorders>
              <w:top w:val="single" w:color="CCCCCC" w:sz="1"/>
              <w:left w:val="single" w:color="CCCCCC" w:sz="1"/>
              <w:bottom w:val="single" w:color="CCCCCC" w:sz="1"/>
              <w:right w:val="single" w:color="CCCCCC" w:sz="1"/>
            </w:tcBorders>
          </w:tcPr>
          <w:p>
            <w:r>
              <w:t xml:space="preserve">Differential analysis</w:t>
            </w:r>
          </w:p>
        </w:tc>
        <w:tc>
          <w:tcPr>
            <w:tcBorders>
              <w:top w:val="single" w:color="CCCCCC" w:sz="1"/>
              <w:left w:val="single" w:color="CCCCCC" w:sz="1"/>
              <w:bottom w:val="single" w:color="CCCCCC" w:sz="1"/>
              <w:right w:val="single" w:color="CCCCCC" w:sz="1"/>
            </w:tcBorders>
          </w:tcPr>
          <w:p>
            <w:r>
              <w:t xml:space="preserve">RMS + DMRs</w:t>
            </w:r>
          </w:p>
        </w:tc>
      </w:tr>
      <w:tr>
        <w:tc>
          <w:tcPr>
            <w:tcBorders>
              <w:top w:val="single" w:color="CCCCCC" w:sz="1"/>
              <w:left w:val="single" w:color="CCCCCC" w:sz="1"/>
              <w:bottom w:val="single" w:color="CCCCCC" w:sz="1"/>
              <w:right w:val="single" w:color="CCCCCC" w:sz="1"/>
            </w:tcBorders>
          </w:tcPr>
          <w:p>
            <w:r>
              <w:t xml:space="preserve">QSEA</w:t>
            </w:r>
          </w:p>
        </w:tc>
        <w:tc>
          <w:tcPr>
            <w:tcBorders>
              <w:top w:val="single" w:color="CCCCCC" w:sz="1"/>
              <w:left w:val="single" w:color="CCCCCC" w:sz="1"/>
              <w:bottom w:val="single" w:color="CCCCCC" w:sz="1"/>
              <w:right w:val="single" w:color="CCCCCC" w:sz="1"/>
            </w:tcBorders>
          </w:tcPr>
          <w:p>
            <w:r>
              <w:t xml:space="preserve">Bayesian + GLM</w:t>
            </w:r>
          </w:p>
        </w:tc>
        <w:tc>
          <w:tcPr>
            <w:tcBorders>
              <w:top w:val="single" w:color="CCCCCC" w:sz="1"/>
              <w:left w:val="single" w:color="CCCCCC" w:sz="1"/>
              <w:bottom w:val="single" w:color="CCCCCC" w:sz="1"/>
              <w:right w:val="single" w:color="CCCCCC" w:sz="1"/>
            </w:tcBorders>
          </w:tcPr>
          <w:p>
            <w:r>
              <w:t xml:space="preserve">Sigmoidal calibration</w:t>
            </w:r>
          </w:p>
        </w:tc>
        <w:tc>
          <w:tcPr>
            <w:tcBorders>
              <w:top w:val="single" w:color="CCCCCC" w:sz="1"/>
              <w:left w:val="single" w:color="CCCCCC" w:sz="1"/>
              <w:bottom w:val="single" w:color="CCCCCC" w:sz="1"/>
              <w:right w:val="single" w:color="CCCCCC" w:sz="1"/>
            </w:tcBorders>
          </w:tcPr>
          <w:p>
            <w:r>
              <w:t xml:space="preserve">CNV correction + calibration</w:t>
            </w:r>
          </w:p>
        </w:tc>
        <w:tc>
          <w:tcPr>
            <w:tcBorders>
              <w:top w:val="single" w:color="CCCCCC" w:sz="1"/>
              <w:left w:val="single" w:color="CCCCCC" w:sz="1"/>
              <w:bottom w:val="single" w:color="CCCCCC" w:sz="1"/>
              <w:right w:val="single" w:color="CCCCCC" w:sz="1"/>
            </w:tcBorders>
          </w:tcPr>
          <w:p>
            <w:r>
              <w:t xml:space="preserve">Absolute β + DMRs</w:t>
            </w:r>
          </w:p>
        </w:tc>
      </w:tr>
      <w:tr>
        <w:tc>
          <w:tcPr>
            <w:tcBorders>
              <w:top w:val="single" w:color="CCCCCC" w:sz="1"/>
              <w:left w:val="single" w:color="CCCCCC" w:sz="1"/>
              <w:bottom w:val="single" w:color="CCCCCC" w:sz="1"/>
              <w:right w:val="single" w:color="CCCCCC" w:sz="1"/>
            </w:tcBorders>
          </w:tcPr>
          <w:p>
            <w:r>
              <w:t xml:space="preserve">MeDEStrand</w:t>
            </w:r>
          </w:p>
        </w:tc>
        <w:tc>
          <w:tcPr>
            <w:tcBorders>
              <w:top w:val="single" w:color="CCCCCC" w:sz="1"/>
              <w:left w:val="single" w:color="CCCCCC" w:sz="1"/>
              <w:bottom w:val="single" w:color="CCCCCC" w:sz="1"/>
              <w:right w:val="single" w:color="CCCCCC" w:sz="1"/>
            </w:tcBorders>
          </w:tcPr>
          <w:p>
            <w:r>
              <w:t xml:space="preserve">Logistic regression</w:t>
            </w:r>
          </w:p>
        </w:tc>
        <w:tc>
          <w:tcPr>
            <w:tcBorders>
              <w:top w:val="single" w:color="CCCCCC" w:sz="1"/>
              <w:left w:val="single" w:color="CCCCCC" w:sz="1"/>
              <w:bottom w:val="single" w:color="CCCCCC" w:sz="1"/>
              <w:right w:val="single" w:color="CCCCCC" w:sz="1"/>
            </w:tcBorders>
          </w:tcPr>
          <w:p>
            <w:r>
              <w:t xml:space="preserve">Strand-specific sigmoid</w:t>
            </w:r>
          </w:p>
        </w:tc>
        <w:tc>
          <w:tcPr>
            <w:tcBorders>
              <w:top w:val="single" w:color="CCCCCC" w:sz="1"/>
              <w:left w:val="single" w:color="CCCCCC" w:sz="1"/>
              <w:bottom w:val="single" w:color="CCCCCC" w:sz="1"/>
              <w:right w:val="single" w:color="CCCCCC" w:sz="1"/>
            </w:tcBorders>
          </w:tcPr>
          <w:p>
            <w:r>
              <w:t xml:space="preserve">Asymmetric methylation</w:t>
            </w:r>
          </w:p>
        </w:tc>
        <w:tc>
          <w:tcPr>
            <w:tcBorders>
              <w:top w:val="single" w:color="CCCCCC" w:sz="1"/>
              <w:left w:val="single" w:color="CCCCCC" w:sz="1"/>
              <w:bottom w:val="single" w:color="CCCCCC" w:sz="1"/>
              <w:right w:val="single" w:color="CCCCCC" w:sz="1"/>
            </w:tcBorders>
          </w:tcPr>
          <w:p>
            <w:r>
              <w:t xml:space="preserve">Absolute β</w:t>
            </w:r>
          </w:p>
        </w:tc>
      </w:tr>
      <w:tr>
        <w:tc>
          <w:tcPr>
            <w:tcBorders>
              <w:top w:val="single" w:color="CCCCCC" w:sz="1"/>
              <w:left w:val="single" w:color="CCCCCC" w:sz="1"/>
              <w:bottom w:val="single" w:color="CCCCCC" w:sz="1"/>
              <w:right w:val="single" w:color="CCCCCC" w:sz="1"/>
            </w:tcBorders>
          </w:tcPr>
          <w:p>
            <w:r>
              <w:t xml:space="preserve">MEDIPIPE</w:t>
            </w:r>
          </w:p>
        </w:tc>
        <w:tc>
          <w:tcPr>
            <w:tcBorders>
              <w:top w:val="single" w:color="CCCCCC" w:sz="1"/>
              <w:left w:val="single" w:color="CCCCCC" w:sz="1"/>
              <w:bottom w:val="single" w:color="CCCCCC" w:sz="1"/>
              <w:right w:val="single" w:color="CCCCCC" w:sz="1"/>
            </w:tcBorders>
          </w:tcPr>
          <w:p>
            <w:r>
              <w:t xml:space="preserve">Pipeline wrapper</w:t>
            </w:r>
          </w:p>
        </w:tc>
        <w:tc>
          <w:tcPr>
            <w:tcBorders>
              <w:top w:val="single" w:color="CCCCCC" w:sz="1"/>
              <w:left w:val="single" w:color="CCCCCC" w:sz="1"/>
              <w:bottom w:val="single" w:color="CCCCCC" w:sz="1"/>
              <w:right w:val="single" w:color="CCCCCC" w:sz="1"/>
            </w:tcBorders>
          </w:tcPr>
          <w:p>
            <w:r>
              <w:t xml:space="preserve">MEDIPS/QSEA</w:t>
            </w:r>
          </w:p>
        </w:tc>
        <w:tc>
          <w:tcPr>
            <w:tcBorders>
              <w:top w:val="single" w:color="CCCCCC" w:sz="1"/>
              <w:left w:val="single" w:color="CCCCCC" w:sz="1"/>
              <w:bottom w:val="single" w:color="CCCCCC" w:sz="1"/>
              <w:right w:val="single" w:color="CCCCCC" w:sz="1"/>
            </w:tcBorders>
          </w:tcPr>
          <w:p>
            <w:r>
              <w:t xml:space="preserve">Automated workflow</w:t>
            </w:r>
          </w:p>
        </w:tc>
        <w:tc>
          <w:tcPr>
            <w:tcBorders>
              <w:top w:val="single" w:color="CCCCCC" w:sz="1"/>
              <w:left w:val="single" w:color="CCCCCC" w:sz="1"/>
              <w:bottom w:val="single" w:color="CCCCCC" w:sz="1"/>
              <w:right w:val="single" w:color="CCCCCC" w:sz="1"/>
            </w:tcBorders>
          </w:tcPr>
          <w:p>
            <w:r>
              <w:t xml:space="preserve">Aggregated QC</w:t>
            </w:r>
          </w:p>
        </w:tc>
      </w:tr>
      <w:tr>
        <w:tc>
          <w:tcPr>
            <w:tcBorders>
              <w:top w:val="single" w:color="CCCCCC" w:sz="1"/>
              <w:left w:val="single" w:color="CCCCCC" w:sz="1"/>
              <w:bottom w:val="single" w:color="CCCCCC" w:sz="1"/>
              <w:right w:val="single" w:color="CCCCCC" w:sz="1"/>
            </w:tcBorders>
          </w:tcPr>
          <w:p>
            <w:r>
              <w:t xml:space="preserve">GLMnet</w:t>
            </w:r>
          </w:p>
        </w:tc>
        <w:tc>
          <w:tcPr>
            <w:tcBorders>
              <w:top w:val="single" w:color="CCCCCC" w:sz="1"/>
              <w:left w:val="single" w:color="CCCCCC" w:sz="1"/>
              <w:bottom w:val="single" w:color="CCCCCC" w:sz="1"/>
              <w:right w:val="single" w:color="CCCCCC" w:sz="1"/>
            </w:tcBorders>
          </w:tcPr>
          <w:p>
            <w:r>
              <w:t xml:space="preserve">Elastic net</w:t>
            </w:r>
          </w:p>
        </w:tc>
        <w:tc>
          <w:tcPr>
            <w:tcBorders>
              <w:top w:val="single" w:color="CCCCCC" w:sz="1"/>
              <w:left w:val="single" w:color="CCCCCC" w:sz="1"/>
              <w:bottom w:val="single" w:color="CCCCCC" w:sz="1"/>
              <w:right w:val="single" w:color="CCCCCC" w:sz="1"/>
            </w:tcBorders>
          </w:tcPr>
          <w:p>
            <w:r>
              <w:t xml:space="preserve">Pre-normalized input</w:t>
            </w:r>
          </w:p>
        </w:tc>
        <w:tc>
          <w:tcPr>
            <w:tcBorders>
              <w:top w:val="single" w:color="CCCCCC" w:sz="1"/>
              <w:left w:val="single" w:color="CCCCCC" w:sz="1"/>
              <w:bottom w:val="single" w:color="CCCCCC" w:sz="1"/>
              <w:right w:val="single" w:color="CCCCCC" w:sz="1"/>
            </w:tcBorders>
          </w:tcPr>
          <w:p>
            <w:r>
              <w:t xml:space="preserve">Feature selection</w:t>
            </w:r>
          </w:p>
        </w:tc>
        <w:tc>
          <w:tcPr>
            <w:tcBorders>
              <w:top w:val="single" w:color="CCCCCC" w:sz="1"/>
              <w:left w:val="single" w:color="CCCCCC" w:sz="1"/>
              <w:bottom w:val="single" w:color="CCCCCC" w:sz="1"/>
              <w:right w:val="single" w:color="CCCCCC" w:sz="1"/>
            </w:tcBorders>
          </w:tcPr>
          <w:p>
            <w:r>
              <w:t xml:space="preserve">Classification</w:t>
            </w:r>
          </w:p>
        </w:tc>
      </w:tr>
      <w:tr>
        <w:tc>
          <w:tcPr>
            <w:tcBorders>
              <w:top w:val="single" w:color="CCCCCC" w:sz="1"/>
              <w:left w:val="single" w:color="CCCCCC" w:sz="1"/>
              <w:bottom w:val="single" w:color="CCCCCC" w:sz="1"/>
              <w:right w:val="single" w:color="CCCCCC" w:sz="1"/>
            </w:tcBorders>
          </w:tcPr>
          <w:p>
            <w:r>
              <w:t xml:space="preserve">MethRaFo</w:t>
            </w:r>
          </w:p>
        </w:tc>
        <w:tc>
          <w:tcPr>
            <w:tcBorders>
              <w:top w:val="single" w:color="CCCCCC" w:sz="1"/>
              <w:left w:val="single" w:color="CCCCCC" w:sz="1"/>
              <w:bottom w:val="single" w:color="CCCCCC" w:sz="1"/>
              <w:right w:val="single" w:color="CCCCCC" w:sz="1"/>
            </w:tcBorders>
          </w:tcPr>
          <w:p>
            <w:r>
              <w:t xml:space="preserve">Random Forest</w:t>
            </w:r>
          </w:p>
        </w:tc>
        <w:tc>
          <w:tcPr>
            <w:tcBorders>
              <w:top w:val="single" w:color="CCCCCC" w:sz="1"/>
              <w:left w:val="single" w:color="CCCCCC" w:sz="1"/>
              <w:bottom w:val="single" w:color="CCCCCC" w:sz="1"/>
              <w:right w:val="single" w:color="CCCCCC" w:sz="1"/>
            </w:tcBorders>
          </w:tcPr>
          <w:p>
            <w:r>
              <w:t xml:space="preserve">Learned correction</w:t>
            </w:r>
          </w:p>
        </w:tc>
        <w:tc>
          <w:tcPr>
            <w:tcBorders>
              <w:top w:val="single" w:color="CCCCCC" w:sz="1"/>
              <w:left w:val="single" w:color="CCCCCC" w:sz="1"/>
              <w:bottom w:val="single" w:color="CCCCCC" w:sz="1"/>
              <w:right w:val="single" w:color="CCCCCC" w:sz="1"/>
            </w:tcBorders>
          </w:tcPr>
          <w:p>
            <w:r>
              <w:t xml:space="preserve">Speed + accuracy</w:t>
            </w:r>
          </w:p>
        </w:tc>
        <w:tc>
          <w:tcPr>
            <w:tcBorders>
              <w:top w:val="single" w:color="CCCCCC" w:sz="1"/>
              <w:left w:val="single" w:color="CCCCCC" w:sz="1"/>
              <w:bottom w:val="single" w:color="CCCCCC" w:sz="1"/>
              <w:right w:val="single" w:color="CCCCCC" w:sz="1"/>
            </w:tcBorders>
          </w:tcPr>
          <w:p>
            <w:r>
              <w:t xml:space="preserve">Absolute β</w:t>
            </w:r>
          </w:p>
        </w:tc>
      </w:tr>
    </w:tbl>
    <w:p>
      <w:pPr>
        <w:spacing w:before="400" w:after="200"/>
      </w:pPr>
      <w:r>
        <w:rPr>
          <w:b/>
          <w:bCs/>
        </w:rPr>
        <w:t xml:space="preserve">Abbreviations: </w:t>
      </w:r>
      <w:r>
        <w:t xml:space="preserve">β = methylation level; NB = negative binomial; GLM = generalized linear model; RMS = relative methylation score; DMR = differentially methylated region; CNV = copy number variation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Part I: Enrichment-Based Differential Methylation Methods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00"/>
      <w:jc w:val="center"/>
    </w:pPr>
    <w:rPr>
      <w:rFonts w:ascii="Arial" w:cs="Arial" w:eastAsia="Arial" w:hAnsi="Arial"/>
      <w:b/>
      <w:bCs/>
      <w:color w:val="1F4E79"/>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2025-12-09T12:55:55.822Z</dcterms:created>
  <dcterms:modified xsi:type="dcterms:W3CDTF">2025-12-09T12:55:55.823Z</dcterms:modified>
</cp:coreProperties>
</file>

<file path=docProps/custom.xml><?xml version="1.0" encoding="utf-8"?>
<Properties xmlns="http://schemas.openxmlformats.org/officeDocument/2006/custom-properties" xmlns:vt="http://schemas.openxmlformats.org/officeDocument/2006/docPropsVTypes"/>
</file>