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"http://www.busimu-corp.com/production/teams-jueceguanli/teams-guizechakan" \l "one" \o "一、 一 般 规 则" </w:instrText>
      </w:r>
      <w:r>
        <w:rPr>
          <w:rFonts w:ascii="宋体" w:hAnsi="宋体" w:eastAsia="宋体" w:cs="宋体"/>
          <w:kern w:val="0"/>
          <w:sz w:val="24"/>
          <w:szCs w:val="24"/>
          <w:lang w:val="en-US" w:eastAsia="zh-CN" w:bidi="ar"/>
        </w:rPr>
        <w:fldChar w:fldCharType="separate"/>
      </w:r>
      <w:r>
        <w:rPr>
          <w:rStyle w:val="10"/>
          <w:rFonts w:ascii="宋体" w:hAnsi="宋体" w:eastAsia="宋体" w:cs="宋体"/>
          <w:sz w:val="24"/>
          <w:szCs w:val="24"/>
        </w:rPr>
        <w:t>一、 一 般 规 则</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"http://www.busimu-corp.com/production/teams-jueceguanli/teams-guizechakan" \l "three" \o "三、 生 产 作 业" </w:instrText>
      </w:r>
      <w:r>
        <w:rPr>
          <w:rFonts w:ascii="宋体" w:hAnsi="宋体" w:eastAsia="宋体" w:cs="宋体"/>
          <w:kern w:val="0"/>
          <w:sz w:val="24"/>
          <w:szCs w:val="24"/>
          <w:lang w:val="en-US" w:eastAsia="zh-CN" w:bidi="ar"/>
        </w:rPr>
        <w:fldChar w:fldCharType="separate"/>
      </w:r>
      <w:r>
        <w:rPr>
          <w:rFonts w:hint="eastAsia" w:ascii="宋体" w:hAnsi="宋体" w:eastAsia="宋体" w:cs="宋体"/>
          <w:kern w:val="0"/>
          <w:sz w:val="24"/>
          <w:szCs w:val="24"/>
          <w:lang w:val="en-US" w:eastAsia="zh-CN" w:bidi="ar"/>
        </w:rPr>
        <w:t>二</w:t>
      </w:r>
      <w:r>
        <w:rPr>
          <w:rStyle w:val="10"/>
          <w:rFonts w:ascii="宋体" w:hAnsi="宋体" w:eastAsia="宋体" w:cs="宋体"/>
          <w:sz w:val="24"/>
          <w:szCs w:val="24"/>
        </w:rPr>
        <w:t xml:space="preserve">、 </w:t>
      </w:r>
      <w:r>
        <w:rPr>
          <w:rStyle w:val="10"/>
          <w:rFonts w:hint="eastAsia" w:ascii="宋体" w:hAnsi="宋体" w:eastAsia="宋体" w:cs="宋体"/>
          <w:sz w:val="24"/>
          <w:szCs w:val="24"/>
          <w:lang w:val="en-US" w:eastAsia="zh-CN"/>
        </w:rPr>
        <w:t>服务</w:t>
      </w:r>
      <w:r>
        <w:rPr>
          <w:rStyle w:val="10"/>
          <w:rFonts w:ascii="宋体" w:hAnsi="宋体" w:eastAsia="宋体" w:cs="宋体"/>
          <w:sz w:val="24"/>
          <w:szCs w:val="24"/>
        </w:rPr>
        <w:t xml:space="preserve"> 作 业</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"http://www.busimu-corp.com/production/teams-jueceguanli/teams-guizechakan" \l "six" \o "六、 研 究 开 发" </w:instrText>
      </w:r>
      <w:r>
        <w:rPr>
          <w:rFonts w:ascii="宋体" w:hAnsi="宋体" w:eastAsia="宋体" w:cs="宋体"/>
          <w:kern w:val="0"/>
          <w:sz w:val="24"/>
          <w:szCs w:val="24"/>
          <w:lang w:val="en-US" w:eastAsia="zh-CN" w:bidi="ar"/>
        </w:rPr>
        <w:fldChar w:fldCharType="separate"/>
      </w:r>
      <w:r>
        <w:rPr>
          <w:rFonts w:hint="eastAsia" w:ascii="宋体" w:hAnsi="宋体" w:eastAsia="宋体" w:cs="宋体"/>
          <w:kern w:val="0"/>
          <w:sz w:val="24"/>
          <w:szCs w:val="24"/>
          <w:lang w:val="en-US" w:eastAsia="zh-CN" w:bidi="ar"/>
        </w:rPr>
        <w:t>三</w:t>
      </w:r>
      <w:r>
        <w:rPr>
          <w:rStyle w:val="10"/>
          <w:rFonts w:ascii="宋体" w:hAnsi="宋体" w:eastAsia="宋体" w:cs="宋体"/>
          <w:sz w:val="24"/>
          <w:szCs w:val="24"/>
        </w:rPr>
        <w:t xml:space="preserve">、 </w:t>
      </w:r>
      <w:r>
        <w:rPr>
          <w:rStyle w:val="10"/>
          <w:rFonts w:hint="eastAsia" w:ascii="宋体" w:hAnsi="宋体" w:eastAsia="宋体" w:cs="宋体"/>
          <w:sz w:val="24"/>
          <w:szCs w:val="24"/>
          <w:lang w:val="en-US" w:eastAsia="zh-CN"/>
        </w:rPr>
        <w:t>品 牌</w:t>
      </w:r>
      <w:r>
        <w:rPr>
          <w:rStyle w:val="10"/>
          <w:rFonts w:ascii="宋体" w:hAnsi="宋体" w:eastAsia="宋体" w:cs="宋体"/>
          <w:sz w:val="24"/>
          <w:szCs w:val="24"/>
        </w:rPr>
        <w:t xml:space="preserve"> </w:t>
      </w:r>
      <w:r>
        <w:rPr>
          <w:rStyle w:val="10"/>
          <w:rFonts w:hint="eastAsia" w:ascii="宋体" w:hAnsi="宋体" w:eastAsia="宋体" w:cs="宋体"/>
          <w:sz w:val="24"/>
          <w:szCs w:val="24"/>
          <w:lang w:val="en-US" w:eastAsia="zh-CN"/>
        </w:rPr>
        <w:t>投 入</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"http://www.busimu-corp.com/production/teams-jueceguanli/teams-guizechakan" \l "seven" \o "七、 人 力 资 源 管 理" </w:instrText>
      </w:r>
      <w:r>
        <w:rPr>
          <w:rFonts w:ascii="宋体" w:hAnsi="宋体" w:eastAsia="宋体" w:cs="宋体"/>
          <w:kern w:val="0"/>
          <w:sz w:val="24"/>
          <w:szCs w:val="24"/>
          <w:lang w:val="en-US" w:eastAsia="zh-CN" w:bidi="ar"/>
        </w:rPr>
        <w:fldChar w:fldCharType="separate"/>
      </w:r>
      <w:r>
        <w:rPr>
          <w:rFonts w:hint="eastAsia" w:ascii="宋体" w:hAnsi="宋体" w:eastAsia="宋体" w:cs="宋体"/>
          <w:kern w:val="0"/>
          <w:sz w:val="24"/>
          <w:szCs w:val="24"/>
          <w:lang w:val="en-US" w:eastAsia="zh-CN" w:bidi="ar"/>
        </w:rPr>
        <w:t>四</w:t>
      </w:r>
      <w:r>
        <w:rPr>
          <w:rStyle w:val="10"/>
          <w:rFonts w:ascii="宋体" w:hAnsi="宋体" w:eastAsia="宋体" w:cs="宋体"/>
          <w:sz w:val="24"/>
          <w:szCs w:val="24"/>
        </w:rPr>
        <w:t>、 人 力 资 源 管 理</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"http://www.busimu-corp.com/production/teams-jueceguanli/teams-guizechakan" \l "eight" \o "八、 资 金 筹 措" </w:instrText>
      </w:r>
      <w:r>
        <w:rPr>
          <w:rFonts w:ascii="宋体" w:hAnsi="宋体" w:eastAsia="宋体" w:cs="宋体"/>
          <w:kern w:val="0"/>
          <w:sz w:val="24"/>
          <w:szCs w:val="24"/>
          <w:lang w:val="en-US" w:eastAsia="zh-CN" w:bidi="ar"/>
        </w:rPr>
        <w:fldChar w:fldCharType="separate"/>
      </w:r>
      <w:r>
        <w:rPr>
          <w:rFonts w:hint="eastAsia" w:ascii="宋体" w:hAnsi="宋体" w:eastAsia="宋体" w:cs="宋体"/>
          <w:kern w:val="0"/>
          <w:sz w:val="24"/>
          <w:szCs w:val="24"/>
          <w:lang w:val="en-US" w:eastAsia="zh-CN" w:bidi="ar"/>
        </w:rPr>
        <w:t>五</w:t>
      </w:r>
      <w:r>
        <w:rPr>
          <w:rStyle w:val="10"/>
          <w:rFonts w:ascii="宋体" w:hAnsi="宋体" w:eastAsia="宋体" w:cs="宋体"/>
          <w:sz w:val="24"/>
          <w:szCs w:val="24"/>
        </w:rPr>
        <w:t>、 资 金 筹 措</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"http://www.busimu-corp.com/production/teams-jueceguanli/teams-guizechakan" \l "nine" \o "九、 纳 税 与 分 红" </w:instrText>
      </w:r>
      <w:r>
        <w:rPr>
          <w:rFonts w:ascii="宋体" w:hAnsi="宋体" w:eastAsia="宋体" w:cs="宋体"/>
          <w:kern w:val="0"/>
          <w:sz w:val="24"/>
          <w:szCs w:val="24"/>
          <w:lang w:val="en-US" w:eastAsia="zh-CN" w:bidi="ar"/>
        </w:rPr>
        <w:fldChar w:fldCharType="separate"/>
      </w:r>
      <w:r>
        <w:rPr>
          <w:rFonts w:hint="eastAsia" w:ascii="宋体" w:hAnsi="宋体" w:eastAsia="宋体" w:cs="宋体"/>
          <w:kern w:val="0"/>
          <w:sz w:val="24"/>
          <w:szCs w:val="24"/>
          <w:lang w:val="en-US" w:eastAsia="zh-CN" w:bidi="ar"/>
        </w:rPr>
        <w:t>六</w:t>
      </w:r>
      <w:r>
        <w:rPr>
          <w:rStyle w:val="10"/>
          <w:rFonts w:ascii="宋体" w:hAnsi="宋体" w:eastAsia="宋体" w:cs="宋体"/>
          <w:sz w:val="24"/>
          <w:szCs w:val="24"/>
        </w:rPr>
        <w:t>、 纳 税 与 分 红</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"http://www.busimu-corp.com/production/teams-jueceguanli/teams-guizechakan" \l "ten" \o "十、 经 营 业 绩 评 判 标 准" </w:instrText>
      </w:r>
      <w:r>
        <w:rPr>
          <w:rFonts w:ascii="宋体" w:hAnsi="宋体" w:eastAsia="宋体" w:cs="宋体"/>
          <w:kern w:val="0"/>
          <w:sz w:val="24"/>
          <w:szCs w:val="24"/>
          <w:lang w:val="en-US" w:eastAsia="zh-CN" w:bidi="ar"/>
        </w:rPr>
        <w:fldChar w:fldCharType="separate"/>
      </w:r>
      <w:r>
        <w:rPr>
          <w:rFonts w:hint="eastAsia" w:ascii="宋体" w:hAnsi="宋体" w:eastAsia="宋体" w:cs="宋体"/>
          <w:kern w:val="0"/>
          <w:sz w:val="24"/>
          <w:szCs w:val="24"/>
          <w:lang w:val="en-US" w:eastAsia="zh-CN" w:bidi="ar"/>
        </w:rPr>
        <w:t>七</w:t>
      </w:r>
      <w:r>
        <w:rPr>
          <w:rStyle w:val="10"/>
          <w:rFonts w:ascii="宋体" w:hAnsi="宋体" w:eastAsia="宋体" w:cs="宋体"/>
          <w:sz w:val="24"/>
          <w:szCs w:val="24"/>
        </w:rPr>
        <w:t>、 经 营 业 绩 评 判 标 准</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"http://www.busimu-corp.com/production/teams-jueceguanli/teams-guizechakan" \l "eleven" \o "十一、 现 金 收 支 次 序" </w:instrText>
      </w:r>
      <w:r>
        <w:rPr>
          <w:rFonts w:ascii="宋体" w:hAnsi="宋体" w:eastAsia="宋体" w:cs="宋体"/>
          <w:kern w:val="0"/>
          <w:sz w:val="24"/>
          <w:szCs w:val="24"/>
          <w:lang w:val="en-US" w:eastAsia="zh-CN" w:bidi="ar"/>
        </w:rPr>
        <w:fldChar w:fldCharType="separate"/>
      </w:r>
      <w:r>
        <w:rPr>
          <w:rFonts w:hint="eastAsia" w:ascii="宋体" w:hAnsi="宋体" w:eastAsia="宋体" w:cs="宋体"/>
          <w:kern w:val="0"/>
          <w:sz w:val="24"/>
          <w:szCs w:val="24"/>
          <w:lang w:val="en-US" w:eastAsia="zh-CN" w:bidi="ar"/>
        </w:rPr>
        <w:t>八</w:t>
      </w:r>
      <w:r>
        <w:rPr>
          <w:rStyle w:val="10"/>
          <w:rFonts w:ascii="宋体" w:hAnsi="宋体" w:eastAsia="宋体" w:cs="宋体"/>
          <w:sz w:val="24"/>
          <w:szCs w:val="24"/>
        </w:rPr>
        <w:t>、 现 金 收 支 次 序</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pStyle w:val="2"/>
        <w:keepNext w:val="0"/>
        <w:keepLines w:val="0"/>
        <w:widowControl/>
        <w:suppressLineNumbers w:val="0"/>
      </w:pPr>
      <w:r>
        <w:t>一、一 般 规 则</w:t>
      </w:r>
    </w:p>
    <w:p>
      <w:pPr>
        <w:pStyle w:val="7"/>
        <w:keepNext w:val="0"/>
        <w:keepLines w:val="0"/>
        <w:widowControl/>
        <w:suppressLineNumbers w:val="0"/>
      </w:pPr>
      <w:r>
        <w:t>影响需求量的主要因素有：</w:t>
      </w:r>
      <w:r>
        <w:rPr>
          <w:rFonts w:hint="eastAsia"/>
          <w:lang w:eastAsia="zh-CN"/>
        </w:rPr>
        <w:t>服务</w:t>
      </w:r>
      <w:r>
        <w:t>定价、广告和促销费的投入、市场份额以及市场容量等因素，另外，与其它公司比较的相对值也会影响</w:t>
      </w:r>
      <w:r>
        <w:rPr>
          <w:rFonts w:hint="eastAsia"/>
          <w:lang w:eastAsia="zh-CN"/>
        </w:rPr>
        <w:t>服务</w:t>
      </w:r>
      <w:r>
        <w:t>需求量。例如：在其他条件相同的情况下，两个企业</w:t>
      </w:r>
      <w:r>
        <w:rPr>
          <w:rFonts w:hint="eastAsia"/>
          <w:lang w:eastAsia="zh-CN"/>
        </w:rPr>
        <w:t>服务</w:t>
      </w:r>
      <w:r>
        <w:t>定价高低，直接影响市场对该企业</w:t>
      </w:r>
      <w:r>
        <w:rPr>
          <w:rFonts w:hint="eastAsia"/>
          <w:lang w:eastAsia="zh-CN"/>
        </w:rPr>
        <w:t>服务</w:t>
      </w:r>
      <w:r>
        <w:t>的需求。</w:t>
      </w:r>
      <w:r>
        <w:rPr>
          <w:rFonts w:hint="eastAsia"/>
          <w:lang w:eastAsia="zh-CN"/>
        </w:rPr>
        <w:t>服务</w:t>
      </w:r>
      <w:r>
        <w:t>定价越低，市场对该</w:t>
      </w:r>
      <w:r>
        <w:rPr>
          <w:rFonts w:hint="eastAsia"/>
          <w:lang w:eastAsia="zh-CN"/>
        </w:rPr>
        <w:t>服务</w:t>
      </w:r>
      <w:r>
        <w:t>的需求量越大。</w:t>
      </w:r>
    </w:p>
    <w:p>
      <w:pPr>
        <w:pStyle w:val="7"/>
        <w:keepNext w:val="0"/>
        <w:keepLines w:val="0"/>
        <w:widowControl/>
        <w:suppressLineNumbers w:val="0"/>
      </w:pPr>
      <w:r>
        <w:t>企业对</w:t>
      </w:r>
      <w:r>
        <w:rPr>
          <w:rFonts w:hint="eastAsia"/>
          <w:lang w:eastAsia="zh-CN"/>
        </w:rPr>
        <w:t>服务</w:t>
      </w:r>
      <w:r>
        <w:t>的广告影响该</w:t>
      </w:r>
      <w:r>
        <w:rPr>
          <w:rFonts w:hint="eastAsia"/>
          <w:lang w:eastAsia="zh-CN"/>
        </w:rPr>
        <w:t>服务</w:t>
      </w:r>
      <w:r>
        <w:t>在各个市场上的需求。企业某个市场促销费投入会影响消费者对该企业的</w:t>
      </w:r>
      <w:r>
        <w:rPr>
          <w:rFonts w:hint="eastAsia"/>
          <w:lang w:eastAsia="zh-CN"/>
        </w:rPr>
        <w:t>服务</w:t>
      </w:r>
      <w:r>
        <w:t>需求。促销费包括促销人员费用、推销费用等，企业在各市场的促销费影响它在该市场的各种</w:t>
      </w:r>
      <w:r>
        <w:rPr>
          <w:rFonts w:hint="eastAsia"/>
          <w:lang w:eastAsia="zh-CN"/>
        </w:rPr>
        <w:t>服务</w:t>
      </w:r>
      <w:r>
        <w:t>的需求。</w:t>
      </w:r>
    </w:p>
    <w:p>
      <w:pPr>
        <w:pStyle w:val="7"/>
        <w:keepNext w:val="0"/>
        <w:keepLines w:val="0"/>
        <w:widowControl/>
        <w:suppressLineNumbers w:val="0"/>
      </w:pPr>
      <w:r>
        <w:t>企业的市场份额反映了该企业在这个市场的用户占有率，一般下一期的市场份额，与当前期的市场份额有很大的相关性。</w:t>
      </w:r>
    </w:p>
    <w:p>
      <w:pPr>
        <w:pStyle w:val="7"/>
        <w:keepNext w:val="0"/>
        <w:keepLines w:val="0"/>
        <w:widowControl/>
        <w:suppressLineNumbers w:val="0"/>
      </w:pPr>
      <w:r>
        <w:t>企业的</w:t>
      </w:r>
      <w:r>
        <w:rPr>
          <w:rFonts w:hint="eastAsia"/>
          <w:lang w:eastAsia="zh-CN"/>
        </w:rPr>
        <w:t>品牌投入</w:t>
      </w:r>
      <w:r>
        <w:t>费、工人工资会影响</w:t>
      </w:r>
      <w:r>
        <w:rPr>
          <w:rFonts w:hint="eastAsia"/>
          <w:lang w:eastAsia="zh-CN"/>
        </w:rPr>
        <w:t>服务</w:t>
      </w:r>
      <w:r>
        <w:t>的等级，等级高的</w:t>
      </w:r>
      <w:r>
        <w:rPr>
          <w:rFonts w:hint="eastAsia"/>
          <w:lang w:eastAsia="zh-CN"/>
        </w:rPr>
        <w:t>服务</w:t>
      </w:r>
      <w:r>
        <w:t>可以较高的价格出售。</w:t>
      </w:r>
    </w:p>
    <w:p>
      <w:pPr>
        <w:pStyle w:val="7"/>
        <w:keepNext w:val="0"/>
        <w:keepLines w:val="0"/>
        <w:widowControl/>
        <w:suppressLineNumbers w:val="0"/>
      </w:pPr>
      <w:r>
        <w:t>企业</w:t>
      </w:r>
      <w:r>
        <w:rPr>
          <w:rFonts w:hint="eastAsia"/>
          <w:lang w:eastAsia="zh-CN"/>
        </w:rPr>
        <w:t>服务</w:t>
      </w:r>
      <w:r>
        <w:t>的市场需求量与市场容量相关，市场容量越大，对企业的市场需求量越大。</w:t>
      </w:r>
    </w:p>
    <w:p>
      <w:pPr>
        <w:pStyle w:val="7"/>
        <w:keepNext w:val="0"/>
        <w:keepLines w:val="0"/>
        <w:widowControl/>
        <w:suppressLineNumbers w:val="0"/>
      </w:pPr>
      <w:r>
        <w:t>企业经营模拟实训中，发布的动态消息是对下期的经济环境、社会变革、自然现象等突发事件的预测，这些事件会在一定程度上影响市场容量。但是，预测事件是否真正发生以及将造成多大影响都具有随机性，决策者要有风险意识。</w:t>
      </w:r>
    </w:p>
    <w:p>
      <w:pPr>
        <w:pStyle w:val="2"/>
        <w:keepNext w:val="0"/>
        <w:keepLines w:val="0"/>
        <w:widowControl/>
        <w:suppressLineNumbers w:val="0"/>
      </w:pPr>
      <w:r>
        <w:rPr>
          <w:rFonts w:hint="eastAsia"/>
          <w:lang w:val="en-US" w:eastAsia="zh-CN"/>
        </w:rPr>
        <w:t>二</w:t>
      </w:r>
      <w:r>
        <w:t>、</w:t>
      </w:r>
      <w:r>
        <w:rPr>
          <w:rFonts w:hint="eastAsia"/>
          <w:lang w:val="en-US" w:eastAsia="zh-CN"/>
        </w:rPr>
        <w:t>服 务</w:t>
      </w:r>
      <w:r>
        <w:t xml:space="preserve"> 作 业</w:t>
      </w:r>
    </w:p>
    <w:p>
      <w:pPr>
        <w:pStyle w:val="3"/>
        <w:keepNext w:val="0"/>
        <w:keepLines w:val="0"/>
        <w:widowControl/>
        <w:suppressLineNumbers w:val="0"/>
      </w:pPr>
      <w:r>
        <w:rPr>
          <w:rFonts w:hint="eastAsia"/>
          <w:lang w:val="en-US" w:eastAsia="zh-CN"/>
        </w:rPr>
        <w:t>完成</w:t>
      </w:r>
      <w:r>
        <w:t>单个</w:t>
      </w:r>
      <w:r>
        <w:rPr>
          <w:rFonts w:hint="eastAsia"/>
          <w:lang w:eastAsia="zh-CN"/>
        </w:rPr>
        <w:t>服务</w:t>
      </w:r>
      <w:r>
        <w:t>所需要的资源</w:t>
      </w:r>
    </w:p>
    <w:tbl>
      <w:tblPr>
        <w:tblStyle w:val="8"/>
        <w:tblW w:w="4998" w:type="pct"/>
        <w:tblCellSpacing w:w="0" w:type="dxa"/>
        <w:tblInd w:w="0" w:type="dxa"/>
        <w:shd w:val="clear" w:color="auto" w:fill="auto"/>
        <w:tblLayout w:type="autofit"/>
        <w:tblCellMar>
          <w:top w:w="0" w:type="dxa"/>
          <w:left w:w="0" w:type="dxa"/>
          <w:bottom w:w="0" w:type="dxa"/>
          <w:right w:w="0" w:type="dxa"/>
        </w:tblCellMar>
      </w:tblPr>
      <w:tblGrid>
        <w:gridCol w:w="1701"/>
        <w:gridCol w:w="1917"/>
        <w:gridCol w:w="1917"/>
        <w:gridCol w:w="2768"/>
      </w:tblGrid>
      <w:tr>
        <w:tblPrEx>
          <w:shd w:val="clear" w:color="auto" w:fill="auto"/>
          <w:tblCellMar>
            <w:top w:w="0" w:type="dxa"/>
            <w:left w:w="0" w:type="dxa"/>
            <w:bottom w:w="0" w:type="dxa"/>
            <w:right w:w="0" w:type="dxa"/>
          </w:tblCellMar>
        </w:tblPrEx>
        <w:trPr>
          <w:tblHeader/>
          <w:tblCellSpacing w:w="0" w:type="dxa"/>
        </w:trPr>
        <w:tc>
          <w:tcPr>
            <w:tcW w:w="1024" w:type="pct"/>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b/>
              </w:rPr>
            </w:pPr>
            <w:r>
              <w:rPr>
                <w:rFonts w:hint="eastAsia" w:ascii="宋体" w:hAnsi="宋体" w:eastAsia="宋体" w:cs="宋体"/>
                <w:b/>
                <w:kern w:val="0"/>
                <w:sz w:val="24"/>
                <w:szCs w:val="24"/>
                <w:lang w:val="en-US" w:eastAsia="zh-CN" w:bidi="ar"/>
              </w:rPr>
              <w:t>服务</w:t>
            </w:r>
            <w:r>
              <w:rPr>
                <w:rFonts w:ascii="宋体" w:hAnsi="宋体" w:eastAsia="宋体" w:cs="宋体"/>
                <w:b/>
                <w:kern w:val="0"/>
                <w:sz w:val="24"/>
                <w:szCs w:val="24"/>
                <w:lang w:val="en-US" w:eastAsia="zh-CN" w:bidi="ar"/>
              </w:rPr>
              <w:t xml:space="preserve">名称 </w:t>
            </w:r>
          </w:p>
        </w:tc>
        <w:tc>
          <w:tcPr>
            <w:tcW w:w="1154" w:type="pct"/>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b/>
              </w:rPr>
            </w:pPr>
            <w:r>
              <w:rPr>
                <w:rFonts w:ascii="宋体" w:hAnsi="宋体" w:eastAsia="宋体" w:cs="宋体"/>
                <w:b/>
                <w:kern w:val="0"/>
                <w:sz w:val="24"/>
                <w:szCs w:val="24"/>
                <w:lang w:val="en-US" w:eastAsia="zh-CN" w:bidi="ar"/>
              </w:rPr>
              <w:t xml:space="preserve">人力 (时) </w:t>
            </w:r>
          </w:p>
        </w:tc>
        <w:tc>
          <w:tcPr>
            <w:tcW w:w="1154" w:type="pct"/>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b/>
              </w:rPr>
            </w:pPr>
            <w:r>
              <w:rPr>
                <w:rFonts w:hint="eastAsia" w:ascii="宋体" w:hAnsi="宋体" w:eastAsia="宋体" w:cs="宋体"/>
                <w:b/>
                <w:kern w:val="0"/>
                <w:sz w:val="24"/>
                <w:szCs w:val="24"/>
                <w:lang w:val="en-US" w:eastAsia="zh-CN" w:bidi="ar"/>
              </w:rPr>
              <w:t>变动费用（元）</w:t>
            </w:r>
            <w:r>
              <w:rPr>
                <w:rFonts w:ascii="宋体" w:hAnsi="宋体" w:eastAsia="宋体" w:cs="宋体"/>
                <w:b/>
                <w:kern w:val="0"/>
                <w:sz w:val="24"/>
                <w:szCs w:val="24"/>
                <w:lang w:val="en-US" w:eastAsia="zh-CN" w:bidi="ar"/>
              </w:rPr>
              <w:t xml:space="preserve"> </w:t>
            </w:r>
          </w:p>
        </w:tc>
        <w:tc>
          <w:tcPr>
            <w:tcW w:w="1666" w:type="pct"/>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b/>
              </w:rPr>
            </w:pPr>
            <w:r>
              <w:rPr>
                <w:rFonts w:hint="eastAsia" w:ascii="宋体" w:hAnsi="宋体" w:eastAsia="宋体" w:cs="宋体"/>
                <w:b/>
                <w:kern w:val="0"/>
                <w:sz w:val="24"/>
                <w:szCs w:val="24"/>
                <w:lang w:val="en-US" w:eastAsia="zh-CN" w:bidi="ar"/>
              </w:rPr>
              <w:t>固定资产消耗（元）</w:t>
            </w:r>
            <w:r>
              <w:rPr>
                <w:rFonts w:ascii="宋体" w:hAnsi="宋体" w:eastAsia="宋体" w:cs="宋体"/>
                <w:b/>
                <w:kern w:val="0"/>
                <w:sz w:val="24"/>
                <w:szCs w:val="24"/>
                <w:lang w:val="en-US" w:eastAsia="zh-CN" w:bidi="ar"/>
              </w:rPr>
              <w:t xml:space="preserve"> </w:t>
            </w:r>
          </w:p>
        </w:tc>
      </w:tr>
    </w:tbl>
    <w:p>
      <w:pPr>
        <w:rPr>
          <w:vanish/>
          <w:sz w:val="24"/>
          <w:szCs w:val="24"/>
        </w:rPr>
      </w:pPr>
    </w:p>
    <w:tbl>
      <w:tblPr>
        <w:tblStyle w:val="8"/>
        <w:tblW w:w="4998" w:type="pct"/>
        <w:tblCellSpacing w:w="0" w:type="dxa"/>
        <w:tblInd w:w="0" w:type="dxa"/>
        <w:shd w:val="clear" w:color="auto" w:fill="auto"/>
        <w:tblLayout w:type="autofit"/>
        <w:tblCellMar>
          <w:top w:w="0" w:type="dxa"/>
          <w:left w:w="0" w:type="dxa"/>
          <w:bottom w:w="0" w:type="dxa"/>
          <w:right w:w="0" w:type="dxa"/>
        </w:tblCellMar>
      </w:tblPr>
      <w:tblGrid>
        <w:gridCol w:w="1689"/>
        <w:gridCol w:w="1978"/>
        <w:gridCol w:w="1879"/>
        <w:gridCol w:w="2757"/>
      </w:tblGrid>
      <w:tr>
        <w:tblPrEx>
          <w:shd w:val="clear" w:color="auto" w:fill="auto"/>
          <w:tblCellMar>
            <w:top w:w="0" w:type="dxa"/>
            <w:left w:w="0" w:type="dxa"/>
            <w:bottom w:w="0" w:type="dxa"/>
            <w:right w:w="0" w:type="dxa"/>
          </w:tblCellMar>
        </w:tblPrEx>
        <w:trPr>
          <w:tblCellSpacing w:w="0" w:type="dxa"/>
        </w:trPr>
        <w:tc>
          <w:tcPr>
            <w:tcW w:w="1017" w:type="pct"/>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hint="eastAsia" w:ascii="宋体" w:hAnsi="宋体" w:eastAsia="宋体" w:cs="宋体"/>
                <w:kern w:val="0"/>
                <w:sz w:val="24"/>
                <w:szCs w:val="24"/>
                <w:lang w:val="en-US" w:eastAsia="zh-CN" w:bidi="ar"/>
              </w:rPr>
              <w:t>服务</w:t>
            </w:r>
            <w:r>
              <w:rPr>
                <w:rFonts w:ascii="宋体" w:hAnsi="宋体" w:eastAsia="宋体" w:cs="宋体"/>
                <w:kern w:val="0"/>
                <w:sz w:val="24"/>
                <w:szCs w:val="24"/>
                <w:lang w:val="en-US" w:eastAsia="zh-CN" w:bidi="ar"/>
              </w:rPr>
              <w:t xml:space="preserve">A </w:t>
            </w:r>
          </w:p>
        </w:tc>
        <w:tc>
          <w:tcPr>
            <w:tcW w:w="1191" w:type="pct"/>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宋体" w:hAnsi="宋体" w:eastAsia="宋体" w:cs="宋体"/>
                <w:kern w:val="0"/>
                <w:sz w:val="24"/>
                <w:szCs w:val="24"/>
                <w:lang w:val="en-US" w:eastAsia="zh-CN" w:bidi="ar"/>
              </w:rPr>
              <w:t xml:space="preserve">50 </w:t>
            </w:r>
          </w:p>
        </w:tc>
        <w:tc>
          <w:tcPr>
            <w:tcW w:w="1131" w:type="pct"/>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宋体" w:hAnsi="宋体" w:eastAsia="宋体" w:cs="宋体"/>
                <w:kern w:val="0"/>
                <w:sz w:val="24"/>
                <w:szCs w:val="24"/>
                <w:lang w:val="en-US" w:eastAsia="zh-CN" w:bidi="ar"/>
              </w:rPr>
              <w:t xml:space="preserve">100 </w:t>
            </w:r>
          </w:p>
        </w:tc>
        <w:tc>
          <w:tcPr>
            <w:tcW w:w="1659" w:type="pct"/>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宋体" w:hAnsi="宋体" w:eastAsia="宋体" w:cs="宋体"/>
                <w:kern w:val="0"/>
                <w:sz w:val="24"/>
                <w:szCs w:val="24"/>
                <w:lang w:val="en-US" w:eastAsia="zh-CN" w:bidi="ar"/>
              </w:rPr>
              <w:t xml:space="preserve">300 </w:t>
            </w:r>
          </w:p>
        </w:tc>
      </w:tr>
      <w:tr>
        <w:tblPrEx>
          <w:shd w:val="clear" w:color="auto" w:fill="auto"/>
          <w:tblCellMar>
            <w:top w:w="0" w:type="dxa"/>
            <w:left w:w="0" w:type="dxa"/>
            <w:bottom w:w="0" w:type="dxa"/>
            <w:right w:w="0" w:type="dxa"/>
          </w:tblCellMar>
        </w:tblPrEx>
        <w:trPr>
          <w:tblCellSpacing w:w="0" w:type="dxa"/>
        </w:trPr>
        <w:tc>
          <w:tcPr>
            <w:tcW w:w="1017" w:type="pct"/>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hint="eastAsia" w:ascii="宋体" w:hAnsi="宋体" w:eastAsia="宋体" w:cs="宋体"/>
                <w:kern w:val="0"/>
                <w:sz w:val="24"/>
                <w:szCs w:val="24"/>
                <w:lang w:val="en-US" w:eastAsia="zh-CN" w:bidi="ar"/>
              </w:rPr>
              <w:t>服务</w:t>
            </w:r>
            <w:r>
              <w:rPr>
                <w:rFonts w:ascii="宋体" w:hAnsi="宋体" w:eastAsia="宋体" w:cs="宋体"/>
                <w:kern w:val="0"/>
                <w:sz w:val="24"/>
                <w:szCs w:val="24"/>
                <w:lang w:val="en-US" w:eastAsia="zh-CN" w:bidi="ar"/>
              </w:rPr>
              <w:t xml:space="preserve">B </w:t>
            </w:r>
          </w:p>
        </w:tc>
        <w:tc>
          <w:tcPr>
            <w:tcW w:w="1191" w:type="pct"/>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宋体" w:hAnsi="宋体" w:eastAsia="宋体" w:cs="宋体"/>
                <w:kern w:val="0"/>
                <w:sz w:val="24"/>
                <w:szCs w:val="24"/>
                <w:lang w:val="en-US" w:eastAsia="zh-CN" w:bidi="ar"/>
              </w:rPr>
              <w:t xml:space="preserve">100 </w:t>
            </w:r>
          </w:p>
        </w:tc>
        <w:tc>
          <w:tcPr>
            <w:tcW w:w="1131" w:type="pct"/>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宋体" w:hAnsi="宋体" w:eastAsia="宋体" w:cs="宋体"/>
                <w:kern w:val="0"/>
                <w:sz w:val="24"/>
                <w:szCs w:val="24"/>
                <w:lang w:val="en-US" w:eastAsia="zh-CN" w:bidi="ar"/>
              </w:rPr>
              <w:t xml:space="preserve">150 </w:t>
            </w:r>
          </w:p>
        </w:tc>
        <w:tc>
          <w:tcPr>
            <w:tcW w:w="1659" w:type="pct"/>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宋体" w:hAnsi="宋体" w:eastAsia="宋体" w:cs="宋体"/>
                <w:kern w:val="0"/>
                <w:sz w:val="24"/>
                <w:szCs w:val="24"/>
                <w:lang w:val="en-US" w:eastAsia="zh-CN" w:bidi="ar"/>
              </w:rPr>
              <w:t xml:space="preserve">1500 </w:t>
            </w:r>
          </w:p>
        </w:tc>
      </w:tr>
      <w:tr>
        <w:tblPrEx>
          <w:shd w:val="clear" w:color="auto" w:fill="auto"/>
          <w:tblCellMar>
            <w:top w:w="0" w:type="dxa"/>
            <w:left w:w="0" w:type="dxa"/>
            <w:bottom w:w="0" w:type="dxa"/>
            <w:right w:w="0" w:type="dxa"/>
          </w:tblCellMar>
        </w:tblPrEx>
        <w:trPr>
          <w:tblCellSpacing w:w="0" w:type="dxa"/>
        </w:trPr>
        <w:tc>
          <w:tcPr>
            <w:tcW w:w="1017" w:type="pct"/>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hint="eastAsia" w:ascii="宋体" w:hAnsi="宋体" w:eastAsia="宋体" w:cs="宋体"/>
                <w:kern w:val="0"/>
                <w:sz w:val="24"/>
                <w:szCs w:val="24"/>
                <w:lang w:val="en-US" w:eastAsia="zh-CN" w:bidi="ar"/>
              </w:rPr>
              <w:t>服务</w:t>
            </w:r>
            <w:r>
              <w:rPr>
                <w:rFonts w:ascii="宋体" w:hAnsi="宋体" w:eastAsia="宋体" w:cs="宋体"/>
                <w:kern w:val="0"/>
                <w:sz w:val="24"/>
                <w:szCs w:val="24"/>
                <w:lang w:val="en-US" w:eastAsia="zh-CN" w:bidi="ar"/>
              </w:rPr>
              <w:t xml:space="preserve">C </w:t>
            </w:r>
          </w:p>
        </w:tc>
        <w:tc>
          <w:tcPr>
            <w:tcW w:w="1191" w:type="pct"/>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宋体" w:hAnsi="宋体" w:eastAsia="宋体" w:cs="宋体"/>
                <w:kern w:val="0"/>
                <w:sz w:val="24"/>
                <w:szCs w:val="24"/>
                <w:lang w:val="en-US" w:eastAsia="zh-CN" w:bidi="ar"/>
              </w:rPr>
              <w:t xml:space="preserve">200 </w:t>
            </w:r>
          </w:p>
        </w:tc>
        <w:tc>
          <w:tcPr>
            <w:tcW w:w="1131" w:type="pct"/>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宋体" w:hAnsi="宋体" w:eastAsia="宋体" w:cs="宋体"/>
                <w:kern w:val="0"/>
                <w:sz w:val="24"/>
                <w:szCs w:val="24"/>
                <w:lang w:val="en-US" w:eastAsia="zh-CN" w:bidi="ar"/>
              </w:rPr>
              <w:t xml:space="preserve">250 </w:t>
            </w:r>
          </w:p>
        </w:tc>
        <w:tc>
          <w:tcPr>
            <w:tcW w:w="1659" w:type="pct"/>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宋体" w:hAnsi="宋体" w:eastAsia="宋体" w:cs="宋体"/>
                <w:kern w:val="0"/>
                <w:sz w:val="24"/>
                <w:szCs w:val="24"/>
                <w:lang w:val="en-US" w:eastAsia="zh-CN" w:bidi="ar"/>
              </w:rPr>
              <w:t xml:space="preserve">2000 </w:t>
            </w:r>
          </w:p>
        </w:tc>
      </w:tr>
      <w:tr>
        <w:tblPrEx>
          <w:shd w:val="clear" w:color="auto" w:fill="auto"/>
          <w:tblCellMar>
            <w:top w:w="0" w:type="dxa"/>
            <w:left w:w="0" w:type="dxa"/>
            <w:bottom w:w="0" w:type="dxa"/>
            <w:right w:w="0" w:type="dxa"/>
          </w:tblCellMar>
        </w:tblPrEx>
        <w:trPr>
          <w:tblCellSpacing w:w="0" w:type="dxa"/>
        </w:trPr>
        <w:tc>
          <w:tcPr>
            <w:tcW w:w="1017" w:type="pct"/>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hint="eastAsia" w:ascii="宋体" w:hAnsi="宋体" w:eastAsia="宋体" w:cs="宋体"/>
                <w:kern w:val="0"/>
                <w:sz w:val="24"/>
                <w:szCs w:val="24"/>
                <w:lang w:val="en-US" w:eastAsia="zh-CN" w:bidi="ar"/>
              </w:rPr>
              <w:t>服务</w:t>
            </w:r>
            <w:r>
              <w:rPr>
                <w:rFonts w:ascii="宋体" w:hAnsi="宋体" w:eastAsia="宋体" w:cs="宋体"/>
                <w:kern w:val="0"/>
                <w:sz w:val="24"/>
                <w:szCs w:val="24"/>
                <w:lang w:val="en-US" w:eastAsia="zh-CN" w:bidi="ar"/>
              </w:rPr>
              <w:t xml:space="preserve">D </w:t>
            </w:r>
          </w:p>
        </w:tc>
        <w:tc>
          <w:tcPr>
            <w:tcW w:w="1191" w:type="pct"/>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宋体" w:hAnsi="宋体" w:eastAsia="宋体" w:cs="宋体"/>
                <w:kern w:val="0"/>
                <w:sz w:val="24"/>
                <w:szCs w:val="24"/>
                <w:lang w:val="en-US" w:eastAsia="zh-CN" w:bidi="ar"/>
              </w:rPr>
              <w:t xml:space="preserve">300 </w:t>
            </w:r>
          </w:p>
        </w:tc>
        <w:tc>
          <w:tcPr>
            <w:tcW w:w="1131" w:type="pct"/>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宋体" w:hAnsi="宋体" w:eastAsia="宋体" w:cs="宋体"/>
                <w:kern w:val="0"/>
                <w:sz w:val="24"/>
                <w:szCs w:val="24"/>
                <w:lang w:val="en-US" w:eastAsia="zh-CN" w:bidi="ar"/>
              </w:rPr>
              <w:t xml:space="preserve">350 </w:t>
            </w:r>
          </w:p>
        </w:tc>
        <w:tc>
          <w:tcPr>
            <w:tcW w:w="1659" w:type="pct"/>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宋体" w:hAnsi="宋体" w:eastAsia="宋体" w:cs="宋体"/>
                <w:kern w:val="0"/>
                <w:sz w:val="24"/>
                <w:szCs w:val="24"/>
                <w:lang w:val="en-US" w:eastAsia="zh-CN" w:bidi="ar"/>
              </w:rPr>
              <w:t xml:space="preserve">3000 </w:t>
            </w:r>
          </w:p>
        </w:tc>
      </w:tr>
    </w:tbl>
    <w:p>
      <w:pPr>
        <w:pStyle w:val="3"/>
        <w:keepNext w:val="0"/>
        <w:keepLines w:val="0"/>
        <w:widowControl/>
        <w:suppressLineNumbers w:val="0"/>
        <w:rPr>
          <w:rFonts w:hint="default" w:eastAsia="宋体"/>
          <w:lang w:val="en-US" w:eastAsia="zh-CN"/>
        </w:rPr>
      </w:pPr>
      <w:r>
        <w:rPr>
          <w:rFonts w:hint="eastAsia"/>
          <w:lang w:val="en-US" w:eastAsia="zh-CN"/>
        </w:rPr>
        <w:t>固定资产</w:t>
      </w:r>
    </w:p>
    <w:p>
      <w:pPr>
        <w:pStyle w:val="7"/>
        <w:keepNext w:val="0"/>
        <w:keepLines w:val="0"/>
        <w:widowControl/>
        <w:suppressLineNumbers w:val="0"/>
      </w:pPr>
      <w:r>
        <w:rPr>
          <w:rFonts w:hint="eastAsia"/>
          <w:lang w:val="en-US" w:eastAsia="zh-CN"/>
        </w:rPr>
        <w:t>固定资产</w:t>
      </w:r>
      <w:r>
        <w:t>折旧期为5年，每期折旧为5%，不管使用与否。</w:t>
      </w:r>
    </w:p>
    <w:p>
      <w:pPr>
        <w:pStyle w:val="7"/>
        <w:keepNext w:val="0"/>
        <w:keepLines w:val="0"/>
        <w:widowControl/>
        <w:suppressLineNumbers w:val="0"/>
      </w:pPr>
      <w:r>
        <w:t>若购买</w:t>
      </w:r>
      <w:r>
        <w:rPr>
          <w:rFonts w:hint="eastAsia"/>
          <w:lang w:val="en-US" w:eastAsia="zh-CN"/>
        </w:rPr>
        <w:t>固定资产</w:t>
      </w:r>
      <w:r>
        <w:t>，本期末付款，下期运输安装，再一期才能使用，使用时才计算折旧。</w:t>
      </w:r>
    </w:p>
    <w:p>
      <w:pPr>
        <w:pStyle w:val="7"/>
        <w:keepNext w:val="0"/>
        <w:keepLines w:val="0"/>
        <w:widowControl/>
        <w:suppressLineNumbers w:val="0"/>
        <w:rPr>
          <w:rFonts w:hint="eastAsia" w:eastAsiaTheme="minorEastAsia"/>
          <w:lang w:eastAsia="zh-CN"/>
        </w:rPr>
      </w:pPr>
      <w:r>
        <w:t>每</w:t>
      </w:r>
      <w:r>
        <w:rPr>
          <w:rFonts w:hint="eastAsia"/>
          <w:lang w:val="en-US" w:eastAsia="zh-CN"/>
        </w:rPr>
        <w:t>10000元固定资产</w:t>
      </w:r>
      <w:r>
        <w:t xml:space="preserve">每期的维修费用为：200元 </w:t>
      </w:r>
      <w:r>
        <w:rPr>
          <w:rFonts w:hint="eastAsia"/>
          <w:lang w:eastAsia="zh-CN"/>
        </w:rPr>
        <w:t>。</w:t>
      </w:r>
    </w:p>
    <w:p>
      <w:pPr>
        <w:pStyle w:val="3"/>
        <w:keepNext w:val="0"/>
        <w:keepLines w:val="0"/>
        <w:widowControl/>
        <w:suppressLineNumbers w:val="0"/>
        <w:rPr>
          <w:rFonts w:hint="eastAsia" w:eastAsia="宋体"/>
          <w:lang w:val="en-US" w:eastAsia="zh-CN"/>
        </w:rPr>
      </w:pPr>
      <w:r>
        <w:t>管理</w:t>
      </w:r>
      <w:r>
        <w:rPr>
          <w:rFonts w:hint="eastAsia"/>
          <w:lang w:val="en-US" w:eastAsia="zh-CN"/>
        </w:rPr>
        <w:t>费</w:t>
      </w:r>
    </w:p>
    <w:p>
      <w:pPr>
        <w:numPr>
          <w:ilvl w:val="0"/>
          <w:numId w:val="0"/>
        </w:numPr>
        <w:ind w:leftChars="0"/>
      </w:pPr>
      <w:r>
        <w:rPr>
          <w:rFonts w:hint="eastAsia" w:ascii="宋体" w:hAnsi="宋体" w:eastAsia="宋体" w:cs="宋体"/>
          <w:sz w:val="24"/>
          <w:szCs w:val="24"/>
          <w:lang w:val="en-US" w:eastAsia="zh-CN"/>
        </w:rPr>
        <w:t>服务</w:t>
      </w:r>
      <w:r>
        <w:rPr>
          <w:rFonts w:ascii="宋体" w:hAnsi="宋体" w:eastAsia="宋体" w:cs="宋体"/>
          <w:sz w:val="24"/>
          <w:szCs w:val="24"/>
        </w:rPr>
        <w:t xml:space="preserve">A: 4000元 </w:t>
      </w:r>
      <w:r>
        <w:rPr>
          <w:rFonts w:hint="eastAsia" w:ascii="宋体" w:hAnsi="宋体" w:eastAsia="宋体" w:cs="宋体"/>
          <w:sz w:val="24"/>
          <w:szCs w:val="24"/>
          <w:lang w:val="en-US" w:eastAsia="zh-CN"/>
        </w:rPr>
        <w:t>服务</w:t>
      </w:r>
      <w:r>
        <w:rPr>
          <w:rFonts w:ascii="宋体" w:hAnsi="宋体" w:eastAsia="宋体" w:cs="宋体"/>
          <w:sz w:val="24"/>
          <w:szCs w:val="24"/>
        </w:rPr>
        <w:t xml:space="preserve">B: 5000元 </w:t>
      </w:r>
      <w:r>
        <w:rPr>
          <w:rFonts w:hint="eastAsia" w:ascii="宋体" w:hAnsi="宋体" w:eastAsia="宋体" w:cs="宋体"/>
          <w:sz w:val="24"/>
          <w:szCs w:val="24"/>
          <w:lang w:val="en-US" w:eastAsia="zh-CN"/>
        </w:rPr>
        <w:t>服务</w:t>
      </w:r>
      <w:r>
        <w:rPr>
          <w:rFonts w:ascii="宋体" w:hAnsi="宋体" w:eastAsia="宋体" w:cs="宋体"/>
          <w:sz w:val="24"/>
          <w:szCs w:val="24"/>
        </w:rPr>
        <w:t xml:space="preserve">C: 6000元 </w:t>
      </w:r>
      <w:r>
        <w:rPr>
          <w:rFonts w:hint="eastAsia" w:ascii="宋体" w:hAnsi="宋体" w:eastAsia="宋体" w:cs="宋体"/>
          <w:sz w:val="24"/>
          <w:szCs w:val="24"/>
          <w:lang w:val="en-US" w:eastAsia="zh-CN"/>
        </w:rPr>
        <w:t>服务</w:t>
      </w:r>
      <w:r>
        <w:rPr>
          <w:rFonts w:ascii="宋体" w:hAnsi="宋体" w:eastAsia="宋体" w:cs="宋体"/>
          <w:sz w:val="24"/>
          <w:szCs w:val="24"/>
        </w:rPr>
        <w:t>D: 7000元</w:t>
      </w:r>
    </w:p>
    <w:p>
      <w:pPr>
        <w:pStyle w:val="2"/>
        <w:keepNext w:val="0"/>
        <w:keepLines w:val="0"/>
        <w:widowControl/>
        <w:suppressLineNumbers w:val="0"/>
        <w:rPr>
          <w:rFonts w:hint="default" w:eastAsia="宋体"/>
          <w:lang w:val="en-US" w:eastAsia="zh-CN"/>
        </w:rPr>
      </w:pPr>
      <w:r>
        <w:rPr>
          <w:rFonts w:hint="eastAsia"/>
          <w:lang w:val="en-US" w:eastAsia="zh-CN"/>
        </w:rPr>
        <w:t>三</w:t>
      </w:r>
      <w:r>
        <w:t>、</w:t>
      </w:r>
      <w:r>
        <w:rPr>
          <w:rFonts w:hint="eastAsia"/>
          <w:lang w:val="en-US" w:eastAsia="zh-CN"/>
        </w:rPr>
        <w:t>品牌投入</w:t>
      </w:r>
    </w:p>
    <w:p>
      <w:pPr>
        <w:pStyle w:val="3"/>
        <w:keepNext w:val="0"/>
        <w:keepLines w:val="0"/>
        <w:widowControl/>
        <w:suppressLineNumbers w:val="0"/>
      </w:pPr>
      <w:r>
        <w:rPr>
          <w:rFonts w:hint="eastAsia"/>
          <w:lang w:val="en-US" w:eastAsia="zh-CN"/>
        </w:rPr>
        <w:t>品牌投入</w:t>
      </w:r>
      <w:r>
        <w:t>的作用</w:t>
      </w:r>
    </w:p>
    <w:p>
      <w:pPr>
        <w:pStyle w:val="7"/>
        <w:keepNext w:val="0"/>
        <w:keepLines w:val="0"/>
        <w:widowControl/>
        <w:suppressLineNumbers w:val="0"/>
      </w:pPr>
      <w:r>
        <w:t>企业</w:t>
      </w:r>
      <w:r>
        <w:rPr>
          <w:rFonts w:hint="eastAsia"/>
          <w:lang w:val="en-US" w:eastAsia="zh-CN"/>
        </w:rPr>
        <w:t>可以</w:t>
      </w:r>
      <w:r>
        <w:t>投入基本的</w:t>
      </w:r>
      <w:r>
        <w:rPr>
          <w:rFonts w:hint="eastAsia"/>
          <w:lang w:eastAsia="zh-CN"/>
        </w:rPr>
        <w:t>品牌投入</w:t>
      </w:r>
      <w:r>
        <w:t>费用，其数量相当于下面的等级 1。它包 括为</w:t>
      </w:r>
      <w:r>
        <w:rPr>
          <w:rFonts w:hint="eastAsia"/>
          <w:lang w:eastAsia="zh-CN"/>
        </w:rPr>
        <w:t>完成</w:t>
      </w:r>
      <w:r>
        <w:t>该新</w:t>
      </w:r>
      <w:r>
        <w:rPr>
          <w:rFonts w:hint="eastAsia"/>
          <w:lang w:eastAsia="zh-CN"/>
        </w:rPr>
        <w:t>服务</w:t>
      </w:r>
      <w:r>
        <w:t>需要的专利的获得、设施的购置和技术的培训等。</w:t>
      </w:r>
    </w:p>
    <w:p>
      <w:pPr>
        <w:pStyle w:val="7"/>
        <w:keepNext w:val="0"/>
        <w:keepLines w:val="0"/>
        <w:widowControl/>
        <w:suppressLineNumbers w:val="0"/>
      </w:pPr>
      <w:r>
        <w:t>为了提高该</w:t>
      </w:r>
      <w:r>
        <w:rPr>
          <w:rFonts w:hint="eastAsia"/>
          <w:lang w:eastAsia="zh-CN"/>
        </w:rPr>
        <w:t>服务</w:t>
      </w:r>
      <w:r>
        <w:t>的等级，企业还需要进一步投入</w:t>
      </w:r>
      <w:r>
        <w:rPr>
          <w:rFonts w:hint="eastAsia"/>
          <w:lang w:eastAsia="zh-CN"/>
        </w:rPr>
        <w:t>品牌投入</w:t>
      </w:r>
      <w:r>
        <w:t>费。它包括为提高</w:t>
      </w:r>
      <w:r>
        <w:rPr>
          <w:rFonts w:hint="eastAsia"/>
          <w:lang w:eastAsia="zh-CN"/>
        </w:rPr>
        <w:t>服务</w:t>
      </w:r>
      <w:r>
        <w:t>质量的 技术革新和</w:t>
      </w:r>
      <w:r>
        <w:rPr>
          <w:rFonts w:hint="eastAsia"/>
          <w:lang w:eastAsia="zh-CN"/>
        </w:rPr>
        <w:t>完成</w:t>
      </w:r>
      <w:r>
        <w:t>工艺的改进等。这些费用相当于下面的等级 2、3、4、5。若</w:t>
      </w:r>
      <w:r>
        <w:rPr>
          <w:rFonts w:hint="eastAsia"/>
          <w:lang w:eastAsia="zh-CN"/>
        </w:rPr>
        <w:t>服务</w:t>
      </w:r>
      <w:r>
        <w:t>等级高， 可以增加客户的需求。在计算成本时，将本期的</w:t>
      </w:r>
      <w:r>
        <w:rPr>
          <w:rFonts w:hint="eastAsia"/>
          <w:lang w:eastAsia="zh-CN"/>
        </w:rPr>
        <w:t>品牌投入</w:t>
      </w:r>
      <w:r>
        <w:t>费用平均分摊在本期和下一期。</w:t>
      </w:r>
      <w:r>
        <w:rPr>
          <w:rFonts w:hint="eastAsia"/>
          <w:lang w:eastAsia="zh-CN"/>
        </w:rPr>
        <w:t>服务</w:t>
      </w:r>
      <w:r>
        <w:t>等级初始为0。</w:t>
      </w:r>
    </w:p>
    <w:p>
      <w:pPr>
        <w:pStyle w:val="3"/>
        <w:keepNext w:val="0"/>
        <w:keepLines w:val="0"/>
        <w:widowControl/>
        <w:suppressLineNumbers w:val="0"/>
      </w:pPr>
      <w:r>
        <w:rPr>
          <w:rFonts w:hint="eastAsia"/>
          <w:lang w:eastAsia="zh-CN"/>
        </w:rPr>
        <w:t>品牌投入</w:t>
      </w:r>
      <w:r>
        <w:t>费用</w:t>
      </w:r>
    </w:p>
    <w:p>
      <w:pPr>
        <w:pStyle w:val="7"/>
        <w:keepNext w:val="0"/>
        <w:keepLines w:val="0"/>
        <w:widowControl/>
        <w:suppressLineNumbers w:val="0"/>
      </w:pPr>
      <w:r>
        <w:t>各种</w:t>
      </w:r>
      <w:r>
        <w:rPr>
          <w:rFonts w:hint="eastAsia"/>
          <w:lang w:eastAsia="zh-CN"/>
        </w:rPr>
        <w:t>服务</w:t>
      </w:r>
      <w:r>
        <w:t>达到不同等级需要的累积</w:t>
      </w:r>
      <w:r>
        <w:rPr>
          <w:rFonts w:hint="eastAsia"/>
          <w:lang w:eastAsia="zh-CN"/>
        </w:rPr>
        <w:t>品牌投入</w:t>
      </w:r>
      <w:r>
        <w:t>费用(简单加总)如下：</w:t>
      </w:r>
    </w:p>
    <w:tbl>
      <w:tblPr>
        <w:tblStyle w:val="8"/>
        <w:tblW w:w="4998" w:type="pct"/>
        <w:tblCellSpacing w:w="0" w:type="dxa"/>
        <w:tblInd w:w="0" w:type="dxa"/>
        <w:shd w:val="clear" w:color="auto" w:fill="auto"/>
        <w:tblLayout w:type="autofit"/>
        <w:tblCellMar>
          <w:top w:w="0" w:type="dxa"/>
          <w:left w:w="0" w:type="dxa"/>
          <w:bottom w:w="0" w:type="dxa"/>
          <w:right w:w="0" w:type="dxa"/>
        </w:tblCellMar>
      </w:tblPr>
      <w:tblGrid>
        <w:gridCol w:w="548"/>
        <w:gridCol w:w="411"/>
        <w:gridCol w:w="735"/>
        <w:gridCol w:w="807"/>
        <w:gridCol w:w="807"/>
        <w:gridCol w:w="807"/>
        <w:gridCol w:w="807"/>
        <w:gridCol w:w="807"/>
        <w:gridCol w:w="807"/>
        <w:gridCol w:w="807"/>
        <w:gridCol w:w="960"/>
      </w:tblGrid>
      <w:tr>
        <w:tblPrEx>
          <w:shd w:val="clear" w:color="auto" w:fill="auto"/>
        </w:tblPrEx>
        <w:trPr>
          <w:tblHeader/>
          <w:tblCellSpacing w:w="0" w:type="dxa"/>
        </w:trPr>
        <w:tc>
          <w:tcPr>
            <w:tcW w:w="330" w:type="pct"/>
            <w:shd w:val="clear" w:color="auto" w:fill="auto"/>
            <w:vAlign w:val="center"/>
          </w:tcPr>
          <w:p>
            <w:pPr>
              <w:jc w:val="center"/>
              <w:rPr>
                <w:rFonts w:hint="eastAsia" w:ascii="宋体"/>
                <w:b/>
                <w:sz w:val="24"/>
                <w:szCs w:val="24"/>
              </w:rPr>
            </w:pPr>
          </w:p>
        </w:tc>
        <w:tc>
          <w:tcPr>
            <w:tcW w:w="247" w:type="pct"/>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b/>
              </w:rPr>
            </w:pPr>
            <w:r>
              <w:rPr>
                <w:rFonts w:ascii="宋体" w:hAnsi="宋体" w:eastAsia="宋体" w:cs="宋体"/>
                <w:b/>
                <w:kern w:val="0"/>
                <w:sz w:val="24"/>
                <w:szCs w:val="24"/>
                <w:lang w:val="en-US" w:eastAsia="zh-CN" w:bidi="ar"/>
              </w:rPr>
              <w:t xml:space="preserve">等级1 </w:t>
            </w:r>
          </w:p>
        </w:tc>
        <w:tc>
          <w:tcPr>
            <w:tcW w:w="442" w:type="pct"/>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b/>
              </w:rPr>
            </w:pPr>
            <w:r>
              <w:rPr>
                <w:rFonts w:ascii="宋体" w:hAnsi="宋体" w:eastAsia="宋体" w:cs="宋体"/>
                <w:b/>
                <w:kern w:val="0"/>
                <w:sz w:val="24"/>
                <w:szCs w:val="24"/>
                <w:lang w:val="en-US" w:eastAsia="zh-CN" w:bidi="ar"/>
              </w:rPr>
              <w:t xml:space="preserve">等级2 </w:t>
            </w:r>
          </w:p>
        </w:tc>
        <w:tc>
          <w:tcPr>
            <w:tcW w:w="485" w:type="pct"/>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b/>
              </w:rPr>
            </w:pPr>
            <w:r>
              <w:rPr>
                <w:rFonts w:ascii="宋体" w:hAnsi="宋体" w:eastAsia="宋体" w:cs="宋体"/>
                <w:b/>
                <w:kern w:val="0"/>
                <w:sz w:val="24"/>
                <w:szCs w:val="24"/>
                <w:lang w:val="en-US" w:eastAsia="zh-CN" w:bidi="ar"/>
              </w:rPr>
              <w:t xml:space="preserve">等级3 </w:t>
            </w:r>
          </w:p>
        </w:tc>
        <w:tc>
          <w:tcPr>
            <w:tcW w:w="485" w:type="pct"/>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b/>
              </w:rPr>
            </w:pPr>
            <w:r>
              <w:rPr>
                <w:rFonts w:ascii="宋体" w:hAnsi="宋体" w:eastAsia="宋体" w:cs="宋体"/>
                <w:b/>
                <w:kern w:val="0"/>
                <w:sz w:val="24"/>
                <w:szCs w:val="24"/>
                <w:lang w:val="en-US" w:eastAsia="zh-CN" w:bidi="ar"/>
              </w:rPr>
              <w:t xml:space="preserve">等级4 </w:t>
            </w:r>
          </w:p>
        </w:tc>
        <w:tc>
          <w:tcPr>
            <w:tcW w:w="485" w:type="pct"/>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b/>
              </w:rPr>
            </w:pPr>
            <w:r>
              <w:rPr>
                <w:rFonts w:ascii="宋体" w:hAnsi="宋体" w:eastAsia="宋体" w:cs="宋体"/>
                <w:b/>
                <w:kern w:val="0"/>
                <w:sz w:val="24"/>
                <w:szCs w:val="24"/>
                <w:lang w:val="en-US" w:eastAsia="zh-CN" w:bidi="ar"/>
              </w:rPr>
              <w:t xml:space="preserve">等级5 </w:t>
            </w:r>
          </w:p>
        </w:tc>
        <w:tc>
          <w:tcPr>
            <w:tcW w:w="485" w:type="pct"/>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b/>
              </w:rPr>
            </w:pPr>
            <w:r>
              <w:rPr>
                <w:rFonts w:ascii="宋体" w:hAnsi="宋体" w:eastAsia="宋体" w:cs="宋体"/>
                <w:b/>
                <w:kern w:val="0"/>
                <w:sz w:val="24"/>
                <w:szCs w:val="24"/>
                <w:lang w:val="en-US" w:eastAsia="zh-CN" w:bidi="ar"/>
              </w:rPr>
              <w:t xml:space="preserve">等级6 </w:t>
            </w:r>
          </w:p>
        </w:tc>
        <w:tc>
          <w:tcPr>
            <w:tcW w:w="485" w:type="pct"/>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b/>
              </w:rPr>
            </w:pPr>
            <w:r>
              <w:rPr>
                <w:rFonts w:ascii="宋体" w:hAnsi="宋体" w:eastAsia="宋体" w:cs="宋体"/>
                <w:b/>
                <w:kern w:val="0"/>
                <w:sz w:val="24"/>
                <w:szCs w:val="24"/>
                <w:lang w:val="en-US" w:eastAsia="zh-CN" w:bidi="ar"/>
              </w:rPr>
              <w:t xml:space="preserve">等级7 </w:t>
            </w:r>
          </w:p>
        </w:tc>
        <w:tc>
          <w:tcPr>
            <w:tcW w:w="485" w:type="pct"/>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b/>
              </w:rPr>
            </w:pPr>
            <w:r>
              <w:rPr>
                <w:rFonts w:ascii="宋体" w:hAnsi="宋体" w:eastAsia="宋体" w:cs="宋体"/>
                <w:b/>
                <w:kern w:val="0"/>
                <w:sz w:val="24"/>
                <w:szCs w:val="24"/>
                <w:lang w:val="en-US" w:eastAsia="zh-CN" w:bidi="ar"/>
              </w:rPr>
              <w:t xml:space="preserve">等级8 </w:t>
            </w:r>
          </w:p>
        </w:tc>
        <w:tc>
          <w:tcPr>
            <w:tcW w:w="485" w:type="pct"/>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b/>
              </w:rPr>
            </w:pPr>
            <w:r>
              <w:rPr>
                <w:rFonts w:ascii="宋体" w:hAnsi="宋体" w:eastAsia="宋体" w:cs="宋体"/>
                <w:b/>
                <w:kern w:val="0"/>
                <w:sz w:val="24"/>
                <w:szCs w:val="24"/>
                <w:lang w:val="en-US" w:eastAsia="zh-CN" w:bidi="ar"/>
              </w:rPr>
              <w:t xml:space="preserve">等级9 </w:t>
            </w:r>
          </w:p>
        </w:tc>
        <w:tc>
          <w:tcPr>
            <w:tcW w:w="577" w:type="pct"/>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b/>
              </w:rPr>
            </w:pPr>
            <w:r>
              <w:rPr>
                <w:rFonts w:ascii="宋体" w:hAnsi="宋体" w:eastAsia="宋体" w:cs="宋体"/>
                <w:b/>
                <w:kern w:val="0"/>
                <w:sz w:val="24"/>
                <w:szCs w:val="24"/>
                <w:lang w:val="en-US" w:eastAsia="zh-CN" w:bidi="ar"/>
              </w:rPr>
              <w:t xml:space="preserve">等级10 </w:t>
            </w:r>
          </w:p>
        </w:tc>
      </w:tr>
    </w:tbl>
    <w:p>
      <w:pPr>
        <w:rPr>
          <w:vanish/>
          <w:sz w:val="24"/>
          <w:szCs w:val="24"/>
        </w:rPr>
      </w:pPr>
    </w:p>
    <w:tbl>
      <w:tblPr>
        <w:tblStyle w:val="8"/>
        <w:tblW w:w="4995" w:type="pct"/>
        <w:tblCellSpacing w:w="0" w:type="dxa"/>
        <w:tblInd w:w="0" w:type="dxa"/>
        <w:shd w:val="clear" w:color="auto" w:fill="auto"/>
        <w:tblLayout w:type="fixed"/>
        <w:tblCellMar>
          <w:top w:w="0" w:type="dxa"/>
          <w:left w:w="0" w:type="dxa"/>
          <w:bottom w:w="0" w:type="dxa"/>
          <w:right w:w="0" w:type="dxa"/>
        </w:tblCellMar>
      </w:tblPr>
      <w:tblGrid>
        <w:gridCol w:w="549"/>
        <w:gridCol w:w="444"/>
        <w:gridCol w:w="722"/>
        <w:gridCol w:w="789"/>
        <w:gridCol w:w="823"/>
        <w:gridCol w:w="811"/>
        <w:gridCol w:w="822"/>
        <w:gridCol w:w="800"/>
        <w:gridCol w:w="789"/>
        <w:gridCol w:w="811"/>
        <w:gridCol w:w="938"/>
      </w:tblGrid>
      <w:tr>
        <w:tblPrEx>
          <w:shd w:val="clear" w:color="auto" w:fill="auto"/>
          <w:tblCellMar>
            <w:top w:w="0" w:type="dxa"/>
            <w:left w:w="0" w:type="dxa"/>
            <w:bottom w:w="0" w:type="dxa"/>
            <w:right w:w="0" w:type="dxa"/>
          </w:tblCellMar>
        </w:tblPrEx>
        <w:trPr>
          <w:tblCellSpacing w:w="0" w:type="dxa"/>
        </w:trPr>
        <w:tc>
          <w:tcPr>
            <w:tcW w:w="330" w:type="pct"/>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hint="eastAsia" w:ascii="宋体" w:hAnsi="宋体" w:eastAsia="宋体" w:cs="宋体"/>
                <w:kern w:val="0"/>
                <w:sz w:val="24"/>
                <w:szCs w:val="24"/>
                <w:lang w:val="en-US" w:eastAsia="zh-CN" w:bidi="ar"/>
              </w:rPr>
              <w:t>服务</w:t>
            </w:r>
            <w:r>
              <w:rPr>
                <w:rFonts w:ascii="宋体" w:hAnsi="宋体" w:eastAsia="宋体" w:cs="宋体"/>
                <w:kern w:val="0"/>
                <w:sz w:val="24"/>
                <w:szCs w:val="24"/>
                <w:lang w:val="en-US" w:eastAsia="zh-CN" w:bidi="ar"/>
              </w:rPr>
              <w:t xml:space="preserve">A </w:t>
            </w:r>
          </w:p>
        </w:tc>
        <w:tc>
          <w:tcPr>
            <w:tcW w:w="267" w:type="pct"/>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宋体" w:hAnsi="宋体" w:eastAsia="宋体" w:cs="宋体"/>
                <w:kern w:val="0"/>
                <w:sz w:val="24"/>
                <w:szCs w:val="24"/>
                <w:lang w:val="en-US" w:eastAsia="zh-CN" w:bidi="ar"/>
              </w:rPr>
              <w:t xml:space="preserve">100000 </w:t>
            </w:r>
          </w:p>
        </w:tc>
        <w:tc>
          <w:tcPr>
            <w:tcW w:w="435" w:type="pct"/>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宋体" w:hAnsi="宋体" w:eastAsia="宋体" w:cs="宋体"/>
                <w:kern w:val="0"/>
                <w:sz w:val="24"/>
                <w:szCs w:val="24"/>
                <w:lang w:val="en-US" w:eastAsia="zh-CN" w:bidi="ar"/>
              </w:rPr>
              <w:t xml:space="preserve">200000 </w:t>
            </w:r>
          </w:p>
        </w:tc>
        <w:tc>
          <w:tcPr>
            <w:tcW w:w="475" w:type="pct"/>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宋体" w:hAnsi="宋体" w:eastAsia="宋体" w:cs="宋体"/>
                <w:kern w:val="0"/>
                <w:sz w:val="24"/>
                <w:szCs w:val="24"/>
                <w:lang w:val="en-US" w:eastAsia="zh-CN" w:bidi="ar"/>
              </w:rPr>
              <w:t xml:space="preserve">300000 </w:t>
            </w:r>
          </w:p>
        </w:tc>
        <w:tc>
          <w:tcPr>
            <w:tcW w:w="495" w:type="pct"/>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宋体" w:hAnsi="宋体" w:eastAsia="宋体" w:cs="宋体"/>
                <w:kern w:val="0"/>
                <w:sz w:val="24"/>
                <w:szCs w:val="24"/>
                <w:lang w:val="en-US" w:eastAsia="zh-CN" w:bidi="ar"/>
              </w:rPr>
              <w:t xml:space="preserve">400000 </w:t>
            </w:r>
          </w:p>
        </w:tc>
        <w:tc>
          <w:tcPr>
            <w:tcW w:w="488" w:type="pct"/>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宋体" w:hAnsi="宋体" w:eastAsia="宋体" w:cs="宋体"/>
                <w:kern w:val="0"/>
                <w:sz w:val="24"/>
                <w:szCs w:val="24"/>
                <w:lang w:val="en-US" w:eastAsia="zh-CN" w:bidi="ar"/>
              </w:rPr>
              <w:t xml:space="preserve">500000 </w:t>
            </w:r>
          </w:p>
        </w:tc>
        <w:tc>
          <w:tcPr>
            <w:tcW w:w="495" w:type="pct"/>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宋体" w:hAnsi="宋体" w:eastAsia="宋体" w:cs="宋体"/>
                <w:kern w:val="0"/>
                <w:sz w:val="24"/>
                <w:szCs w:val="24"/>
                <w:lang w:val="en-US" w:eastAsia="zh-CN" w:bidi="ar"/>
              </w:rPr>
              <w:t xml:space="preserve">600000 </w:t>
            </w:r>
          </w:p>
        </w:tc>
        <w:tc>
          <w:tcPr>
            <w:tcW w:w="482" w:type="pct"/>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宋体" w:hAnsi="宋体" w:eastAsia="宋体" w:cs="宋体"/>
                <w:kern w:val="0"/>
                <w:sz w:val="24"/>
                <w:szCs w:val="24"/>
                <w:lang w:val="en-US" w:eastAsia="zh-CN" w:bidi="ar"/>
              </w:rPr>
              <w:t xml:space="preserve">700000 </w:t>
            </w:r>
          </w:p>
        </w:tc>
        <w:tc>
          <w:tcPr>
            <w:tcW w:w="475" w:type="pct"/>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宋体" w:hAnsi="宋体" w:eastAsia="宋体" w:cs="宋体"/>
                <w:kern w:val="0"/>
                <w:sz w:val="24"/>
                <w:szCs w:val="24"/>
                <w:lang w:val="en-US" w:eastAsia="zh-CN" w:bidi="ar"/>
              </w:rPr>
              <w:t xml:space="preserve">800000 </w:t>
            </w:r>
          </w:p>
        </w:tc>
        <w:tc>
          <w:tcPr>
            <w:tcW w:w="488" w:type="pct"/>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宋体" w:hAnsi="宋体" w:eastAsia="宋体" w:cs="宋体"/>
                <w:kern w:val="0"/>
                <w:sz w:val="24"/>
                <w:szCs w:val="24"/>
                <w:lang w:val="en-US" w:eastAsia="zh-CN" w:bidi="ar"/>
              </w:rPr>
              <w:t xml:space="preserve">900000 </w:t>
            </w:r>
          </w:p>
        </w:tc>
        <w:tc>
          <w:tcPr>
            <w:tcW w:w="565" w:type="pct"/>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宋体" w:hAnsi="宋体" w:eastAsia="宋体" w:cs="宋体"/>
                <w:kern w:val="0"/>
                <w:sz w:val="24"/>
                <w:szCs w:val="24"/>
                <w:lang w:val="en-US" w:eastAsia="zh-CN" w:bidi="ar"/>
              </w:rPr>
              <w:t xml:space="preserve">1000000 </w:t>
            </w:r>
          </w:p>
        </w:tc>
      </w:tr>
      <w:tr>
        <w:tblPrEx>
          <w:shd w:val="clear" w:color="auto" w:fill="auto"/>
          <w:tblCellMar>
            <w:top w:w="0" w:type="dxa"/>
            <w:left w:w="0" w:type="dxa"/>
            <w:bottom w:w="0" w:type="dxa"/>
            <w:right w:w="0" w:type="dxa"/>
          </w:tblCellMar>
        </w:tblPrEx>
        <w:trPr>
          <w:tblCellSpacing w:w="0" w:type="dxa"/>
        </w:trPr>
        <w:tc>
          <w:tcPr>
            <w:tcW w:w="330" w:type="pct"/>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hint="eastAsia" w:ascii="宋体" w:hAnsi="宋体" w:eastAsia="宋体" w:cs="宋体"/>
                <w:kern w:val="0"/>
                <w:sz w:val="24"/>
                <w:szCs w:val="24"/>
                <w:lang w:val="en-US" w:eastAsia="zh-CN" w:bidi="ar"/>
              </w:rPr>
              <w:t>服务</w:t>
            </w:r>
            <w:r>
              <w:rPr>
                <w:rFonts w:ascii="宋体" w:hAnsi="宋体" w:eastAsia="宋体" w:cs="宋体"/>
                <w:kern w:val="0"/>
                <w:sz w:val="24"/>
                <w:szCs w:val="24"/>
                <w:lang w:val="en-US" w:eastAsia="zh-CN" w:bidi="ar"/>
              </w:rPr>
              <w:t xml:space="preserve">B </w:t>
            </w:r>
          </w:p>
        </w:tc>
        <w:tc>
          <w:tcPr>
            <w:tcW w:w="267" w:type="pct"/>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宋体" w:hAnsi="宋体" w:eastAsia="宋体" w:cs="宋体"/>
                <w:kern w:val="0"/>
                <w:sz w:val="24"/>
                <w:szCs w:val="24"/>
                <w:lang w:val="en-US" w:eastAsia="zh-CN" w:bidi="ar"/>
              </w:rPr>
              <w:t xml:space="preserve">200000 </w:t>
            </w:r>
          </w:p>
        </w:tc>
        <w:tc>
          <w:tcPr>
            <w:tcW w:w="435" w:type="pct"/>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宋体" w:hAnsi="宋体" w:eastAsia="宋体" w:cs="宋体"/>
                <w:kern w:val="0"/>
                <w:sz w:val="24"/>
                <w:szCs w:val="24"/>
                <w:lang w:val="en-US" w:eastAsia="zh-CN" w:bidi="ar"/>
              </w:rPr>
              <w:t xml:space="preserve">350000 </w:t>
            </w:r>
          </w:p>
        </w:tc>
        <w:tc>
          <w:tcPr>
            <w:tcW w:w="475" w:type="pct"/>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宋体" w:hAnsi="宋体" w:eastAsia="宋体" w:cs="宋体"/>
                <w:kern w:val="0"/>
                <w:sz w:val="24"/>
                <w:szCs w:val="24"/>
                <w:lang w:val="en-US" w:eastAsia="zh-CN" w:bidi="ar"/>
              </w:rPr>
              <w:t xml:space="preserve">480000 </w:t>
            </w:r>
          </w:p>
        </w:tc>
        <w:tc>
          <w:tcPr>
            <w:tcW w:w="495" w:type="pct"/>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宋体" w:hAnsi="宋体" w:eastAsia="宋体" w:cs="宋体"/>
                <w:kern w:val="0"/>
                <w:sz w:val="24"/>
                <w:szCs w:val="24"/>
                <w:lang w:val="en-US" w:eastAsia="zh-CN" w:bidi="ar"/>
              </w:rPr>
              <w:t xml:space="preserve">600000 </w:t>
            </w:r>
          </w:p>
        </w:tc>
        <w:tc>
          <w:tcPr>
            <w:tcW w:w="488" w:type="pct"/>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宋体" w:hAnsi="宋体" w:eastAsia="宋体" w:cs="宋体"/>
                <w:kern w:val="0"/>
                <w:sz w:val="24"/>
                <w:szCs w:val="24"/>
                <w:lang w:val="en-US" w:eastAsia="zh-CN" w:bidi="ar"/>
              </w:rPr>
              <w:t xml:space="preserve">700000 </w:t>
            </w:r>
          </w:p>
        </w:tc>
        <w:tc>
          <w:tcPr>
            <w:tcW w:w="495" w:type="pct"/>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宋体" w:hAnsi="宋体" w:eastAsia="宋体" w:cs="宋体"/>
                <w:kern w:val="0"/>
                <w:sz w:val="24"/>
                <w:szCs w:val="24"/>
                <w:lang w:val="en-US" w:eastAsia="zh-CN" w:bidi="ar"/>
              </w:rPr>
              <w:t xml:space="preserve">750000 </w:t>
            </w:r>
          </w:p>
        </w:tc>
        <w:tc>
          <w:tcPr>
            <w:tcW w:w="482" w:type="pct"/>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宋体" w:hAnsi="宋体" w:eastAsia="宋体" w:cs="宋体"/>
                <w:kern w:val="0"/>
                <w:sz w:val="24"/>
                <w:szCs w:val="24"/>
                <w:lang w:val="en-US" w:eastAsia="zh-CN" w:bidi="ar"/>
              </w:rPr>
              <w:t xml:space="preserve">800000 </w:t>
            </w:r>
          </w:p>
        </w:tc>
        <w:tc>
          <w:tcPr>
            <w:tcW w:w="475" w:type="pct"/>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宋体" w:hAnsi="宋体" w:eastAsia="宋体" w:cs="宋体"/>
                <w:kern w:val="0"/>
                <w:sz w:val="24"/>
                <w:szCs w:val="24"/>
                <w:lang w:val="en-US" w:eastAsia="zh-CN" w:bidi="ar"/>
              </w:rPr>
              <w:t xml:space="preserve">850000 </w:t>
            </w:r>
          </w:p>
        </w:tc>
        <w:tc>
          <w:tcPr>
            <w:tcW w:w="488" w:type="pct"/>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宋体" w:hAnsi="宋体" w:eastAsia="宋体" w:cs="宋体"/>
                <w:kern w:val="0"/>
                <w:sz w:val="24"/>
                <w:szCs w:val="24"/>
                <w:lang w:val="en-US" w:eastAsia="zh-CN" w:bidi="ar"/>
              </w:rPr>
              <w:t xml:space="preserve">950000 </w:t>
            </w:r>
          </w:p>
        </w:tc>
        <w:tc>
          <w:tcPr>
            <w:tcW w:w="565" w:type="pct"/>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宋体" w:hAnsi="宋体" w:eastAsia="宋体" w:cs="宋体"/>
                <w:kern w:val="0"/>
                <w:sz w:val="24"/>
                <w:szCs w:val="24"/>
                <w:lang w:val="en-US" w:eastAsia="zh-CN" w:bidi="ar"/>
              </w:rPr>
              <w:t xml:space="preserve">1050000 </w:t>
            </w:r>
          </w:p>
        </w:tc>
      </w:tr>
      <w:tr>
        <w:tblPrEx>
          <w:shd w:val="clear" w:color="auto" w:fill="auto"/>
          <w:tblCellMar>
            <w:top w:w="0" w:type="dxa"/>
            <w:left w:w="0" w:type="dxa"/>
            <w:bottom w:w="0" w:type="dxa"/>
            <w:right w:w="0" w:type="dxa"/>
          </w:tblCellMar>
        </w:tblPrEx>
        <w:trPr>
          <w:tblCellSpacing w:w="0" w:type="dxa"/>
        </w:trPr>
        <w:tc>
          <w:tcPr>
            <w:tcW w:w="330" w:type="pct"/>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hint="eastAsia" w:ascii="宋体" w:hAnsi="宋体" w:eastAsia="宋体" w:cs="宋体"/>
                <w:kern w:val="0"/>
                <w:sz w:val="24"/>
                <w:szCs w:val="24"/>
                <w:lang w:val="en-US" w:eastAsia="zh-CN" w:bidi="ar"/>
              </w:rPr>
              <w:t>服务</w:t>
            </w:r>
            <w:r>
              <w:rPr>
                <w:rFonts w:ascii="宋体" w:hAnsi="宋体" w:eastAsia="宋体" w:cs="宋体"/>
                <w:kern w:val="0"/>
                <w:sz w:val="24"/>
                <w:szCs w:val="24"/>
                <w:lang w:val="en-US" w:eastAsia="zh-CN" w:bidi="ar"/>
              </w:rPr>
              <w:t xml:space="preserve">C </w:t>
            </w:r>
          </w:p>
        </w:tc>
        <w:tc>
          <w:tcPr>
            <w:tcW w:w="267" w:type="pct"/>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宋体" w:hAnsi="宋体" w:eastAsia="宋体" w:cs="宋体"/>
                <w:kern w:val="0"/>
                <w:sz w:val="24"/>
                <w:szCs w:val="24"/>
                <w:lang w:val="en-US" w:eastAsia="zh-CN" w:bidi="ar"/>
              </w:rPr>
              <w:t xml:space="preserve">300000 </w:t>
            </w:r>
          </w:p>
        </w:tc>
        <w:tc>
          <w:tcPr>
            <w:tcW w:w="435" w:type="pct"/>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宋体" w:hAnsi="宋体" w:eastAsia="宋体" w:cs="宋体"/>
                <w:kern w:val="0"/>
                <w:sz w:val="24"/>
                <w:szCs w:val="24"/>
                <w:lang w:val="en-US" w:eastAsia="zh-CN" w:bidi="ar"/>
              </w:rPr>
              <w:t xml:space="preserve">450000 </w:t>
            </w:r>
          </w:p>
        </w:tc>
        <w:tc>
          <w:tcPr>
            <w:tcW w:w="475" w:type="pct"/>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宋体" w:hAnsi="宋体" w:eastAsia="宋体" w:cs="宋体"/>
                <w:kern w:val="0"/>
                <w:sz w:val="24"/>
                <w:szCs w:val="24"/>
                <w:lang w:val="en-US" w:eastAsia="zh-CN" w:bidi="ar"/>
              </w:rPr>
              <w:t xml:space="preserve">580000 </w:t>
            </w:r>
          </w:p>
        </w:tc>
        <w:tc>
          <w:tcPr>
            <w:tcW w:w="495" w:type="pct"/>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宋体" w:hAnsi="宋体" w:eastAsia="宋体" w:cs="宋体"/>
                <w:kern w:val="0"/>
                <w:sz w:val="24"/>
                <w:szCs w:val="24"/>
                <w:lang w:val="en-US" w:eastAsia="zh-CN" w:bidi="ar"/>
              </w:rPr>
              <w:t xml:space="preserve">700000 </w:t>
            </w:r>
          </w:p>
        </w:tc>
        <w:tc>
          <w:tcPr>
            <w:tcW w:w="488" w:type="pct"/>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宋体" w:hAnsi="宋体" w:eastAsia="宋体" w:cs="宋体"/>
                <w:kern w:val="0"/>
                <w:sz w:val="24"/>
                <w:szCs w:val="24"/>
                <w:lang w:val="en-US" w:eastAsia="zh-CN" w:bidi="ar"/>
              </w:rPr>
              <w:t xml:space="preserve">800000 </w:t>
            </w:r>
          </w:p>
        </w:tc>
        <w:tc>
          <w:tcPr>
            <w:tcW w:w="495" w:type="pct"/>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宋体" w:hAnsi="宋体" w:eastAsia="宋体" w:cs="宋体"/>
                <w:kern w:val="0"/>
                <w:sz w:val="24"/>
                <w:szCs w:val="24"/>
                <w:lang w:val="en-US" w:eastAsia="zh-CN" w:bidi="ar"/>
              </w:rPr>
              <w:t xml:space="preserve">850000 </w:t>
            </w:r>
          </w:p>
        </w:tc>
        <w:tc>
          <w:tcPr>
            <w:tcW w:w="482" w:type="pct"/>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宋体" w:hAnsi="宋体" w:eastAsia="宋体" w:cs="宋体"/>
                <w:kern w:val="0"/>
                <w:sz w:val="24"/>
                <w:szCs w:val="24"/>
                <w:lang w:val="en-US" w:eastAsia="zh-CN" w:bidi="ar"/>
              </w:rPr>
              <w:t xml:space="preserve">900000 </w:t>
            </w:r>
          </w:p>
        </w:tc>
        <w:tc>
          <w:tcPr>
            <w:tcW w:w="475" w:type="pct"/>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宋体" w:hAnsi="宋体" w:eastAsia="宋体" w:cs="宋体"/>
                <w:kern w:val="0"/>
                <w:sz w:val="24"/>
                <w:szCs w:val="24"/>
                <w:lang w:val="en-US" w:eastAsia="zh-CN" w:bidi="ar"/>
              </w:rPr>
              <w:t xml:space="preserve">1000000 </w:t>
            </w:r>
          </w:p>
        </w:tc>
        <w:tc>
          <w:tcPr>
            <w:tcW w:w="488" w:type="pct"/>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宋体" w:hAnsi="宋体" w:eastAsia="宋体" w:cs="宋体"/>
                <w:kern w:val="0"/>
                <w:sz w:val="24"/>
                <w:szCs w:val="24"/>
                <w:lang w:val="en-US" w:eastAsia="zh-CN" w:bidi="ar"/>
              </w:rPr>
              <w:t xml:space="preserve">1050000 </w:t>
            </w:r>
          </w:p>
        </w:tc>
        <w:tc>
          <w:tcPr>
            <w:tcW w:w="565" w:type="pct"/>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宋体" w:hAnsi="宋体" w:eastAsia="宋体" w:cs="宋体"/>
                <w:kern w:val="0"/>
                <w:sz w:val="24"/>
                <w:szCs w:val="24"/>
                <w:lang w:val="en-US" w:eastAsia="zh-CN" w:bidi="ar"/>
              </w:rPr>
              <w:t xml:space="preserve">1100000 </w:t>
            </w:r>
          </w:p>
        </w:tc>
      </w:tr>
      <w:tr>
        <w:tblPrEx>
          <w:shd w:val="clear" w:color="auto" w:fill="auto"/>
          <w:tblCellMar>
            <w:top w:w="0" w:type="dxa"/>
            <w:left w:w="0" w:type="dxa"/>
            <w:bottom w:w="0" w:type="dxa"/>
            <w:right w:w="0" w:type="dxa"/>
          </w:tblCellMar>
        </w:tblPrEx>
        <w:trPr>
          <w:tblCellSpacing w:w="0" w:type="dxa"/>
        </w:trPr>
        <w:tc>
          <w:tcPr>
            <w:tcW w:w="330" w:type="pct"/>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hint="eastAsia" w:ascii="宋体" w:hAnsi="宋体" w:eastAsia="宋体" w:cs="宋体"/>
                <w:kern w:val="0"/>
                <w:sz w:val="24"/>
                <w:szCs w:val="24"/>
                <w:lang w:val="en-US" w:eastAsia="zh-CN" w:bidi="ar"/>
              </w:rPr>
              <w:t>服务</w:t>
            </w:r>
            <w:r>
              <w:rPr>
                <w:rFonts w:ascii="宋体" w:hAnsi="宋体" w:eastAsia="宋体" w:cs="宋体"/>
                <w:kern w:val="0"/>
                <w:sz w:val="24"/>
                <w:szCs w:val="24"/>
                <w:lang w:val="en-US" w:eastAsia="zh-CN" w:bidi="ar"/>
              </w:rPr>
              <w:t xml:space="preserve">D </w:t>
            </w:r>
          </w:p>
        </w:tc>
        <w:tc>
          <w:tcPr>
            <w:tcW w:w="267" w:type="pct"/>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宋体" w:hAnsi="宋体" w:eastAsia="宋体" w:cs="宋体"/>
                <w:kern w:val="0"/>
                <w:sz w:val="24"/>
                <w:szCs w:val="24"/>
                <w:lang w:val="en-US" w:eastAsia="zh-CN" w:bidi="ar"/>
              </w:rPr>
              <w:t xml:space="preserve">500000 </w:t>
            </w:r>
          </w:p>
        </w:tc>
        <w:tc>
          <w:tcPr>
            <w:tcW w:w="435" w:type="pct"/>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宋体" w:hAnsi="宋体" w:eastAsia="宋体" w:cs="宋体"/>
                <w:kern w:val="0"/>
                <w:sz w:val="24"/>
                <w:szCs w:val="24"/>
                <w:lang w:val="en-US" w:eastAsia="zh-CN" w:bidi="ar"/>
              </w:rPr>
              <w:t xml:space="preserve">600000 </w:t>
            </w:r>
          </w:p>
        </w:tc>
        <w:tc>
          <w:tcPr>
            <w:tcW w:w="475" w:type="pct"/>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宋体" w:hAnsi="宋体" w:eastAsia="宋体" w:cs="宋体"/>
                <w:kern w:val="0"/>
                <w:sz w:val="24"/>
                <w:szCs w:val="24"/>
                <w:lang w:val="en-US" w:eastAsia="zh-CN" w:bidi="ar"/>
              </w:rPr>
              <w:t xml:space="preserve">700000 </w:t>
            </w:r>
          </w:p>
        </w:tc>
        <w:tc>
          <w:tcPr>
            <w:tcW w:w="495" w:type="pct"/>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宋体" w:hAnsi="宋体" w:eastAsia="宋体" w:cs="宋体"/>
                <w:kern w:val="0"/>
                <w:sz w:val="24"/>
                <w:szCs w:val="24"/>
                <w:lang w:val="en-US" w:eastAsia="zh-CN" w:bidi="ar"/>
              </w:rPr>
              <w:t xml:space="preserve">850000 </w:t>
            </w:r>
          </w:p>
        </w:tc>
        <w:tc>
          <w:tcPr>
            <w:tcW w:w="488" w:type="pct"/>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宋体" w:hAnsi="宋体" w:eastAsia="宋体" w:cs="宋体"/>
                <w:kern w:val="0"/>
                <w:sz w:val="24"/>
                <w:szCs w:val="24"/>
                <w:lang w:val="en-US" w:eastAsia="zh-CN" w:bidi="ar"/>
              </w:rPr>
              <w:t xml:space="preserve">1000000 </w:t>
            </w:r>
          </w:p>
        </w:tc>
        <w:tc>
          <w:tcPr>
            <w:tcW w:w="495" w:type="pct"/>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宋体" w:hAnsi="宋体" w:eastAsia="宋体" w:cs="宋体"/>
                <w:kern w:val="0"/>
                <w:sz w:val="24"/>
                <w:szCs w:val="24"/>
                <w:lang w:val="en-US" w:eastAsia="zh-CN" w:bidi="ar"/>
              </w:rPr>
              <w:t xml:space="preserve">1050000 </w:t>
            </w:r>
          </w:p>
        </w:tc>
        <w:tc>
          <w:tcPr>
            <w:tcW w:w="482" w:type="pct"/>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宋体" w:hAnsi="宋体" w:eastAsia="宋体" w:cs="宋体"/>
                <w:kern w:val="0"/>
                <w:sz w:val="24"/>
                <w:szCs w:val="24"/>
                <w:lang w:val="en-US" w:eastAsia="zh-CN" w:bidi="ar"/>
              </w:rPr>
              <w:t xml:space="preserve">1100000 </w:t>
            </w:r>
          </w:p>
        </w:tc>
        <w:tc>
          <w:tcPr>
            <w:tcW w:w="475" w:type="pct"/>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宋体" w:hAnsi="宋体" w:eastAsia="宋体" w:cs="宋体"/>
                <w:kern w:val="0"/>
                <w:sz w:val="24"/>
                <w:szCs w:val="24"/>
                <w:lang w:val="en-US" w:eastAsia="zh-CN" w:bidi="ar"/>
              </w:rPr>
              <w:t xml:space="preserve">1150000 </w:t>
            </w:r>
          </w:p>
        </w:tc>
        <w:tc>
          <w:tcPr>
            <w:tcW w:w="488" w:type="pct"/>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宋体" w:hAnsi="宋体" w:eastAsia="宋体" w:cs="宋体"/>
                <w:kern w:val="0"/>
                <w:sz w:val="24"/>
                <w:szCs w:val="24"/>
                <w:lang w:val="en-US" w:eastAsia="zh-CN" w:bidi="ar"/>
              </w:rPr>
              <w:t xml:space="preserve">1200000 </w:t>
            </w:r>
          </w:p>
        </w:tc>
        <w:tc>
          <w:tcPr>
            <w:tcW w:w="565" w:type="pct"/>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宋体" w:hAnsi="宋体" w:eastAsia="宋体" w:cs="宋体"/>
                <w:kern w:val="0"/>
                <w:sz w:val="24"/>
                <w:szCs w:val="24"/>
                <w:lang w:val="en-US" w:eastAsia="zh-CN" w:bidi="ar"/>
              </w:rPr>
              <w:t xml:space="preserve">1250000 </w:t>
            </w:r>
          </w:p>
        </w:tc>
      </w:tr>
    </w:tbl>
    <w:p>
      <w:pPr>
        <w:pStyle w:val="2"/>
        <w:keepNext w:val="0"/>
        <w:keepLines w:val="0"/>
        <w:widowControl/>
        <w:suppressLineNumbers w:val="0"/>
      </w:pPr>
      <w:r>
        <w:rPr>
          <w:rFonts w:hint="eastAsia"/>
          <w:lang w:val="en-US" w:eastAsia="zh-CN"/>
        </w:rPr>
        <w:t>四</w:t>
      </w:r>
      <w:r>
        <w:t>、人 力 资 源 管 理</w:t>
      </w:r>
    </w:p>
    <w:p>
      <w:pPr>
        <w:pStyle w:val="3"/>
        <w:keepNext w:val="0"/>
        <w:keepLines w:val="0"/>
        <w:widowControl/>
        <w:suppressLineNumbers w:val="0"/>
      </w:pPr>
      <w:r>
        <w:t>新工人招聘与培训</w:t>
      </w:r>
    </w:p>
    <w:p>
      <w:pPr>
        <w:pStyle w:val="7"/>
        <w:keepNext w:val="0"/>
        <w:keepLines w:val="0"/>
        <w:widowControl/>
        <w:suppressLineNumbers w:val="0"/>
      </w:pPr>
      <w:r>
        <w:t>每期招收工人数不得超过当时工人总数的50%；本期决策招收的新工人在本期为培训期。新工人每人花培训费500元；培训期间新工人的作用和工资相当于正式工人的25%；经过一期培训后，新工人成为熟练工人。</w:t>
      </w:r>
    </w:p>
    <w:p>
      <w:pPr>
        <w:pStyle w:val="3"/>
        <w:keepNext w:val="0"/>
        <w:keepLines w:val="0"/>
        <w:widowControl/>
        <w:suppressLineNumbers w:val="0"/>
      </w:pPr>
      <w:r>
        <w:t>工人退休与解雇</w:t>
      </w:r>
    </w:p>
    <w:p>
      <w:pPr>
        <w:pStyle w:val="7"/>
        <w:keepNext w:val="0"/>
        <w:keepLines w:val="0"/>
        <w:widowControl/>
        <w:suppressLineNumbers w:val="0"/>
      </w:pPr>
      <w:r>
        <w:t>企业每期3%的工人正常退休。企业决策时，可以根据情况解聘工人。决策单中的解聘工人数是退休和解聘人数之和。根据政府规定，退休和解聘人数之和不能多于期初工人数的 10%。本期退休或解聘的工人不参加本期的工作，企业要给退休或解聘工人每人一次性生活安置费1000元。</w:t>
      </w:r>
    </w:p>
    <w:p>
      <w:pPr>
        <w:pStyle w:val="3"/>
        <w:keepNext w:val="0"/>
        <w:keepLines w:val="0"/>
        <w:widowControl/>
        <w:suppressLineNumbers w:val="0"/>
      </w:pPr>
      <w:r>
        <w:t>员工待遇</w:t>
      </w:r>
    </w:p>
    <w:p>
      <w:pPr>
        <w:pStyle w:val="3"/>
        <w:keepNext w:val="0"/>
        <w:keepLines w:val="0"/>
        <w:widowControl/>
        <w:suppressLineNumbers w:val="0"/>
        <w:rPr>
          <w:rFonts w:hint="default" w:eastAsia="宋体"/>
          <w:lang w:val="en-US" w:eastAsia="zh-CN"/>
        </w:rPr>
      </w:pPr>
      <w:r>
        <w:t>工作小时基本工资：</w:t>
      </w:r>
      <w:r>
        <w:rPr>
          <w:rFonts w:hint="eastAsia"/>
          <w:lang w:val="en-US" w:eastAsia="zh-CN"/>
        </w:rPr>
        <w:t>3元，绩效小时基本工资;1元</w:t>
      </w:r>
    </w:p>
    <w:p>
      <w:pPr>
        <w:pStyle w:val="7"/>
        <w:keepNext w:val="0"/>
        <w:keepLines w:val="0"/>
        <w:widowControl/>
        <w:suppressLineNumbers w:val="0"/>
      </w:pPr>
      <w:r>
        <w:t>工人基本工资计算时，工人数取整。</w:t>
      </w:r>
      <w:bookmarkStart w:id="0" w:name="_GoBack"/>
      <w:bookmarkEnd w:id="0"/>
    </w:p>
    <w:p>
      <w:pPr>
        <w:pStyle w:val="3"/>
        <w:keepNext w:val="0"/>
        <w:keepLines w:val="0"/>
        <w:widowControl/>
        <w:suppressLineNumbers w:val="0"/>
      </w:pPr>
      <w:r>
        <w:t>员工激励</w:t>
      </w:r>
    </w:p>
    <w:p>
      <w:pPr>
        <w:pStyle w:val="7"/>
        <w:keepNext w:val="0"/>
        <w:keepLines w:val="0"/>
        <w:widowControl/>
        <w:suppressLineNumbers w:val="0"/>
      </w:pPr>
      <w:r>
        <w:t>以上的小时基本工资是本行业的基本工资，也是各企业确定工资的最底线。</w:t>
      </w:r>
    </w:p>
    <w:p>
      <w:pPr>
        <w:pStyle w:val="7"/>
        <w:keepNext w:val="0"/>
        <w:keepLines w:val="0"/>
        <w:widowControl/>
        <w:suppressLineNumbers w:val="0"/>
      </w:pPr>
      <w:r>
        <w:t>企业可以用提高工资系数的办法激励员工。设对应基本工资的工资系数为１，若工资系数为1，则实际工资为基本工资乘以1。提高工资系数有助于提高企业的</w:t>
      </w:r>
      <w:r>
        <w:rPr>
          <w:rFonts w:hint="eastAsia"/>
          <w:lang w:eastAsia="zh-CN"/>
        </w:rPr>
        <w:t>服务</w:t>
      </w:r>
      <w:r>
        <w:t>质量，也可以提高</w:t>
      </w:r>
      <w:r>
        <w:rPr>
          <w:rFonts w:hint="eastAsia"/>
          <w:lang w:eastAsia="zh-CN"/>
        </w:rPr>
        <w:t>服务</w:t>
      </w:r>
      <w:r>
        <w:t>的级别。当然，提高工资系数会增加成本。</w:t>
      </w:r>
    </w:p>
    <w:p>
      <w:pPr>
        <w:pStyle w:val="2"/>
        <w:keepNext w:val="0"/>
        <w:keepLines w:val="0"/>
        <w:widowControl/>
        <w:suppressLineNumbers w:val="0"/>
      </w:pPr>
      <w:r>
        <w:rPr>
          <w:rFonts w:hint="eastAsia"/>
          <w:lang w:val="en-US" w:eastAsia="zh-CN"/>
        </w:rPr>
        <w:t>五</w:t>
      </w:r>
      <w:r>
        <w:t>、资 金 筹 措</w:t>
      </w:r>
    </w:p>
    <w:p>
      <w:pPr>
        <w:pStyle w:val="3"/>
        <w:keepNext w:val="0"/>
        <w:keepLines w:val="0"/>
        <w:widowControl/>
        <w:suppressLineNumbers w:val="0"/>
      </w:pPr>
      <w:r>
        <w:t>银行贷款</w:t>
      </w:r>
    </w:p>
    <w:p>
      <w:pPr>
        <w:pStyle w:val="7"/>
        <w:keepNext w:val="0"/>
        <w:keepLines w:val="0"/>
        <w:widowControl/>
        <w:suppressLineNumbers w:val="0"/>
      </w:pPr>
      <w:r>
        <w:t>模拟开始时各公司有现金2000000元。为了保证公司的运营，每期期末公司至少应有2000000元现金，若不足，在该公司信用额度的范围内，银行将自动给予贷款补足。企业也可以在决策时提出向银行贷款。但是，整个模拟期间从银行贷款的总数不得超过8000000元的信用总额，紧急救援贷款总金额不得超过8000000元。银行贷款的本利在本期末偿还，年利率为8%(每期的利率为年利率的1/4)。</w:t>
      </w:r>
    </w:p>
    <w:p>
      <w:pPr>
        <w:pStyle w:val="3"/>
        <w:keepNext w:val="0"/>
        <w:keepLines w:val="0"/>
        <w:widowControl/>
        <w:suppressLineNumbers w:val="0"/>
      </w:pPr>
      <w:r>
        <w:t>国债</w:t>
      </w:r>
    </w:p>
    <w:p>
      <w:pPr>
        <w:pStyle w:val="7"/>
        <w:keepNext w:val="0"/>
        <w:keepLines w:val="0"/>
        <w:widowControl/>
        <w:suppressLineNumbers w:val="0"/>
      </w:pPr>
      <w:r>
        <w:t>公司每期末都可以买国债，年利率为6%。若购买国债，在本期末付款，本利在下期末兑现。</w:t>
      </w:r>
    </w:p>
    <w:p>
      <w:pPr>
        <w:pStyle w:val="3"/>
        <w:keepNext w:val="0"/>
        <w:keepLines w:val="0"/>
        <w:widowControl/>
        <w:suppressLineNumbers w:val="0"/>
      </w:pPr>
      <w:r>
        <w:t>发债券</w:t>
      </w:r>
    </w:p>
    <w:p>
      <w:pPr>
        <w:pStyle w:val="7"/>
        <w:keepNext w:val="0"/>
        <w:keepLines w:val="0"/>
        <w:widowControl/>
        <w:suppressLineNumbers w:val="0"/>
      </w:pPr>
      <w:r>
        <w:t>公司为了筹集发展资金或应付财政困难，可以发行债券。当期发行的债券可以在期初得到现金。公司某期发行的债券数额与尚未归还的债券之和不得超过公司该期初净资产的 50% 各期要按 5%的比例偿还债券的本金，并付利息。债券的年利率为 12%。公司模拟开始几期，可能已经发行了债券。未偿还的债券总量可在公司信息里查看。本期发行的债券本利的偿还从下一期开始。债券不能提前偿付或拖延。</w:t>
      </w:r>
    </w:p>
    <w:p>
      <w:pPr>
        <w:pStyle w:val="2"/>
        <w:keepNext w:val="0"/>
        <w:keepLines w:val="0"/>
        <w:widowControl/>
        <w:suppressLineNumbers w:val="0"/>
      </w:pPr>
      <w:r>
        <w:rPr>
          <w:rFonts w:hint="eastAsia"/>
          <w:lang w:val="en-US" w:eastAsia="zh-CN"/>
        </w:rPr>
        <w:t>六</w:t>
      </w:r>
      <w:r>
        <w:t>、纳 税 与 分 红</w:t>
      </w:r>
    </w:p>
    <w:p>
      <w:pPr>
        <w:pStyle w:val="3"/>
        <w:keepNext w:val="0"/>
        <w:keepLines w:val="0"/>
        <w:widowControl/>
        <w:suppressLineNumbers w:val="0"/>
      </w:pPr>
      <w:r>
        <w:t>税务</w:t>
      </w:r>
    </w:p>
    <w:p>
      <w:pPr>
        <w:pStyle w:val="7"/>
        <w:keepNext w:val="0"/>
        <w:keepLines w:val="0"/>
        <w:widowControl/>
        <w:suppressLineNumbers w:val="0"/>
      </w:pPr>
      <w:r>
        <w:t>公司缴税是公司对国家应尽的义务， 也是评价公司经营绩效的一项重要指标。</w:t>
      </w:r>
    </w:p>
    <w:p>
      <w:pPr>
        <w:pStyle w:val="7"/>
        <w:keepNext w:val="0"/>
        <w:keepLines w:val="0"/>
        <w:widowControl/>
        <w:suppressLineNumbers w:val="0"/>
      </w:pPr>
      <w:r>
        <w:t>税金为本期净收益的30%，在本期末缴纳。</w:t>
      </w:r>
    </w:p>
    <w:p>
      <w:pPr>
        <w:pStyle w:val="7"/>
        <w:keepNext w:val="0"/>
        <w:keepLines w:val="0"/>
        <w:widowControl/>
        <w:suppressLineNumbers w:val="0"/>
      </w:pPr>
      <w:r>
        <w:t>本期净收益为负值时， 可按该亏损额的30%在下一期（或以后几期）减税。</w:t>
      </w:r>
    </w:p>
    <w:p>
      <w:pPr>
        <w:pStyle w:val="3"/>
        <w:keepNext w:val="0"/>
        <w:keepLines w:val="0"/>
        <w:widowControl/>
        <w:suppressLineNumbers w:val="0"/>
      </w:pPr>
      <w:r>
        <w:t>分红</w:t>
      </w:r>
    </w:p>
    <w:p>
      <w:pPr>
        <w:pStyle w:val="7"/>
        <w:keepNext w:val="0"/>
        <w:keepLines w:val="0"/>
        <w:widowControl/>
        <w:suppressLineNumbers w:val="0"/>
      </w:pPr>
      <w:r>
        <w:t>公司分红的条件: 有剩余现金即可分红。</w:t>
      </w:r>
    </w:p>
    <w:p>
      <w:pPr>
        <w:pStyle w:val="3"/>
        <w:keepNext w:val="0"/>
        <w:keepLines w:val="0"/>
        <w:widowControl/>
        <w:suppressLineNumbers w:val="0"/>
      </w:pPr>
      <w:r>
        <w:t>注意：</w:t>
      </w:r>
    </w:p>
    <w:p>
      <w:pPr>
        <w:pStyle w:val="7"/>
        <w:keepNext w:val="0"/>
        <w:keepLines w:val="0"/>
        <w:widowControl/>
        <w:suppressLineNumbers w:val="0"/>
      </w:pPr>
      <w:r>
        <w:t>考虑到资金的时效性， 公司累计缴税和累计分红按7.00%年息计算</w:t>
      </w:r>
    </w:p>
    <w:p>
      <w:pPr>
        <w:pStyle w:val="2"/>
        <w:keepNext w:val="0"/>
        <w:keepLines w:val="0"/>
        <w:widowControl/>
        <w:suppressLineNumbers w:val="0"/>
      </w:pPr>
      <w:r>
        <w:rPr>
          <w:rFonts w:hint="eastAsia"/>
          <w:lang w:val="en-US" w:eastAsia="zh-CN"/>
        </w:rPr>
        <w:t>七</w:t>
      </w:r>
      <w:r>
        <w:t>、经 营 业 绩 评 判 标 准</w:t>
      </w:r>
    </w:p>
    <w:p>
      <w:pPr>
        <w:pStyle w:val="3"/>
        <w:keepNext w:val="0"/>
        <w:keepLines w:val="0"/>
        <w:widowControl/>
        <w:suppressLineNumbers w:val="0"/>
      </w:pPr>
      <w:r>
        <w:t>评分指标</w:t>
      </w:r>
    </w:p>
    <w:p>
      <w:pPr>
        <w:pStyle w:val="7"/>
        <w:keepNext w:val="0"/>
        <w:keepLines w:val="0"/>
        <w:widowControl/>
        <w:suppressLineNumbers w:val="0"/>
      </w:pPr>
      <w:r>
        <w:t>每期模拟结束后，软件根据各企业的经营业绩评定一个综合成绩。评判的标准包含七项指标：本期利润、市场份额、累计分红、累计缴税、净资产、人均利润率、资本利润率其中计算人均利润率的人数包括本期解聘的和本期新雇的工人，计算资本利润率的资本等评定的方法是先按这些指标分别计算标准分，再按设定的权重计算出综合分。</w:t>
      </w:r>
    </w:p>
    <w:p>
      <w:pPr>
        <w:pStyle w:val="3"/>
        <w:keepNext w:val="0"/>
        <w:keepLines w:val="0"/>
        <w:widowControl/>
        <w:suppressLineNumbers w:val="0"/>
      </w:pPr>
      <w:r>
        <w:t>指标权重</w:t>
      </w:r>
    </w:p>
    <w:p>
      <w:pPr>
        <w:pStyle w:val="7"/>
        <w:keepNext w:val="0"/>
        <w:keepLines w:val="0"/>
        <w:widowControl/>
        <w:suppressLineNumbers w:val="0"/>
      </w:pPr>
      <w:r>
        <w:t>各项指标的权重分别为：</w:t>
      </w:r>
    </w:p>
    <w:tbl>
      <w:tblPr>
        <w:tblStyle w:val="8"/>
        <w:tblW w:w="4998" w:type="pct"/>
        <w:tblCellSpacing w:w="0" w:type="dxa"/>
        <w:tblInd w:w="0" w:type="dxa"/>
        <w:shd w:val="clear" w:color="auto" w:fill="auto"/>
        <w:tblLayout w:type="autofit"/>
        <w:tblCellMar>
          <w:top w:w="0" w:type="dxa"/>
          <w:left w:w="0" w:type="dxa"/>
          <w:bottom w:w="0" w:type="dxa"/>
          <w:right w:w="0" w:type="dxa"/>
        </w:tblCellMar>
      </w:tblPr>
      <w:tblGrid>
        <w:gridCol w:w="1145"/>
        <w:gridCol w:w="1145"/>
        <w:gridCol w:w="1145"/>
        <w:gridCol w:w="1145"/>
        <w:gridCol w:w="859"/>
        <w:gridCol w:w="1432"/>
        <w:gridCol w:w="1432"/>
      </w:tblGrid>
      <w:tr>
        <w:tblPrEx>
          <w:shd w:val="clear" w:color="auto" w:fill="auto"/>
          <w:tblCellMar>
            <w:top w:w="0" w:type="dxa"/>
            <w:left w:w="0" w:type="dxa"/>
            <w:bottom w:w="0" w:type="dxa"/>
            <w:right w:w="0" w:type="dxa"/>
          </w:tblCellMar>
        </w:tblPrEx>
        <w:trPr>
          <w:tblHeader/>
          <w:tblCellSpacing w:w="0" w:type="dxa"/>
        </w:trPr>
        <w:tc>
          <w:tcPr>
            <w:tcW w:w="689" w:type="pct"/>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b/>
              </w:rPr>
            </w:pPr>
            <w:r>
              <w:rPr>
                <w:rFonts w:ascii="宋体" w:hAnsi="宋体" w:eastAsia="宋体" w:cs="宋体"/>
                <w:b/>
                <w:kern w:val="0"/>
                <w:sz w:val="24"/>
                <w:szCs w:val="24"/>
                <w:lang w:val="en-US" w:eastAsia="zh-CN" w:bidi="ar"/>
              </w:rPr>
              <w:t xml:space="preserve">本期利润 </w:t>
            </w:r>
          </w:p>
        </w:tc>
        <w:tc>
          <w:tcPr>
            <w:tcW w:w="689" w:type="pct"/>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b/>
              </w:rPr>
            </w:pPr>
            <w:r>
              <w:rPr>
                <w:rFonts w:ascii="宋体" w:hAnsi="宋体" w:eastAsia="宋体" w:cs="宋体"/>
                <w:b/>
                <w:kern w:val="0"/>
                <w:sz w:val="24"/>
                <w:szCs w:val="24"/>
                <w:lang w:val="en-US" w:eastAsia="zh-CN" w:bidi="ar"/>
              </w:rPr>
              <w:t xml:space="preserve">市场份额 </w:t>
            </w:r>
          </w:p>
        </w:tc>
        <w:tc>
          <w:tcPr>
            <w:tcW w:w="689" w:type="pct"/>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b/>
              </w:rPr>
            </w:pPr>
            <w:r>
              <w:rPr>
                <w:rFonts w:ascii="宋体" w:hAnsi="宋体" w:eastAsia="宋体" w:cs="宋体"/>
                <w:b/>
                <w:kern w:val="0"/>
                <w:sz w:val="24"/>
                <w:szCs w:val="24"/>
                <w:lang w:val="en-US" w:eastAsia="zh-CN" w:bidi="ar"/>
              </w:rPr>
              <w:t xml:space="preserve">累计分红 </w:t>
            </w:r>
          </w:p>
        </w:tc>
        <w:tc>
          <w:tcPr>
            <w:tcW w:w="689" w:type="pct"/>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b/>
              </w:rPr>
            </w:pPr>
            <w:r>
              <w:rPr>
                <w:rFonts w:ascii="宋体" w:hAnsi="宋体" w:eastAsia="宋体" w:cs="宋体"/>
                <w:b/>
                <w:kern w:val="0"/>
                <w:sz w:val="24"/>
                <w:szCs w:val="24"/>
                <w:lang w:val="en-US" w:eastAsia="zh-CN" w:bidi="ar"/>
              </w:rPr>
              <w:t xml:space="preserve">累计缴税 </w:t>
            </w:r>
          </w:p>
        </w:tc>
        <w:tc>
          <w:tcPr>
            <w:tcW w:w="517" w:type="pct"/>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b/>
              </w:rPr>
            </w:pPr>
            <w:r>
              <w:rPr>
                <w:rFonts w:ascii="宋体" w:hAnsi="宋体" w:eastAsia="宋体" w:cs="宋体"/>
                <w:b/>
                <w:kern w:val="0"/>
                <w:sz w:val="24"/>
                <w:szCs w:val="24"/>
                <w:lang w:val="en-US" w:eastAsia="zh-CN" w:bidi="ar"/>
              </w:rPr>
              <w:t xml:space="preserve">净资产 </w:t>
            </w:r>
          </w:p>
        </w:tc>
        <w:tc>
          <w:tcPr>
            <w:tcW w:w="862" w:type="pct"/>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b/>
              </w:rPr>
            </w:pPr>
            <w:r>
              <w:rPr>
                <w:rFonts w:ascii="宋体" w:hAnsi="宋体" w:eastAsia="宋体" w:cs="宋体"/>
                <w:b/>
                <w:kern w:val="0"/>
                <w:sz w:val="24"/>
                <w:szCs w:val="24"/>
                <w:lang w:val="en-US" w:eastAsia="zh-CN" w:bidi="ar"/>
              </w:rPr>
              <w:t xml:space="preserve">人均利润率 </w:t>
            </w:r>
          </w:p>
        </w:tc>
        <w:tc>
          <w:tcPr>
            <w:tcW w:w="862" w:type="pct"/>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b/>
              </w:rPr>
            </w:pPr>
            <w:r>
              <w:rPr>
                <w:rFonts w:ascii="宋体" w:hAnsi="宋体" w:eastAsia="宋体" w:cs="宋体"/>
                <w:b/>
                <w:kern w:val="0"/>
                <w:sz w:val="24"/>
                <w:szCs w:val="24"/>
                <w:lang w:val="en-US" w:eastAsia="zh-CN" w:bidi="ar"/>
              </w:rPr>
              <w:t xml:space="preserve">资本利润率 </w:t>
            </w:r>
          </w:p>
        </w:tc>
      </w:tr>
    </w:tbl>
    <w:p>
      <w:pPr>
        <w:rPr>
          <w:vanish/>
          <w:sz w:val="24"/>
          <w:szCs w:val="24"/>
        </w:rPr>
      </w:pPr>
    </w:p>
    <w:tbl>
      <w:tblPr>
        <w:tblStyle w:val="8"/>
        <w:tblW w:w="4998" w:type="pct"/>
        <w:tblCellSpacing w:w="0" w:type="dxa"/>
        <w:tblInd w:w="0" w:type="dxa"/>
        <w:shd w:val="clear" w:color="auto" w:fill="auto"/>
        <w:tblLayout w:type="autofit"/>
        <w:tblCellMar>
          <w:top w:w="0" w:type="dxa"/>
          <w:left w:w="0" w:type="dxa"/>
          <w:bottom w:w="0" w:type="dxa"/>
          <w:right w:w="0" w:type="dxa"/>
        </w:tblCellMar>
      </w:tblPr>
      <w:tblGrid>
        <w:gridCol w:w="1083"/>
        <w:gridCol w:w="1444"/>
        <w:gridCol w:w="1083"/>
        <w:gridCol w:w="1083"/>
        <w:gridCol w:w="1083"/>
        <w:gridCol w:w="1083"/>
        <w:gridCol w:w="1444"/>
      </w:tblGrid>
      <w:tr>
        <w:tblPrEx>
          <w:shd w:val="clear" w:color="auto" w:fill="auto"/>
        </w:tblPrEx>
        <w:trPr>
          <w:tblCellSpacing w:w="0" w:type="dxa"/>
        </w:trPr>
        <w:tc>
          <w:tcPr>
            <w:tcW w:w="652" w:type="pct"/>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宋体" w:hAnsi="宋体" w:eastAsia="宋体" w:cs="宋体"/>
                <w:kern w:val="0"/>
                <w:sz w:val="24"/>
                <w:szCs w:val="24"/>
                <w:lang w:val="en-US" w:eastAsia="zh-CN" w:bidi="ar"/>
              </w:rPr>
              <w:t xml:space="preserve">0.2 </w:t>
            </w:r>
          </w:p>
        </w:tc>
        <w:tc>
          <w:tcPr>
            <w:tcW w:w="869" w:type="pct"/>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宋体" w:hAnsi="宋体" w:eastAsia="宋体" w:cs="宋体"/>
                <w:kern w:val="0"/>
                <w:sz w:val="24"/>
                <w:szCs w:val="24"/>
                <w:lang w:val="en-US" w:eastAsia="zh-CN" w:bidi="ar"/>
              </w:rPr>
              <w:t xml:space="preserve">0.15 </w:t>
            </w:r>
          </w:p>
        </w:tc>
        <w:tc>
          <w:tcPr>
            <w:tcW w:w="652" w:type="pct"/>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宋体" w:hAnsi="宋体" w:eastAsia="宋体" w:cs="宋体"/>
                <w:kern w:val="0"/>
                <w:sz w:val="24"/>
                <w:szCs w:val="24"/>
                <w:lang w:val="en-US" w:eastAsia="zh-CN" w:bidi="ar"/>
              </w:rPr>
              <w:t xml:space="preserve">0.1 </w:t>
            </w:r>
          </w:p>
        </w:tc>
        <w:tc>
          <w:tcPr>
            <w:tcW w:w="652" w:type="pct"/>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宋体" w:hAnsi="宋体" w:eastAsia="宋体" w:cs="宋体"/>
                <w:kern w:val="0"/>
                <w:sz w:val="24"/>
                <w:szCs w:val="24"/>
                <w:lang w:val="en-US" w:eastAsia="zh-CN" w:bidi="ar"/>
              </w:rPr>
              <w:t xml:space="preserve">0.1 </w:t>
            </w:r>
          </w:p>
        </w:tc>
        <w:tc>
          <w:tcPr>
            <w:tcW w:w="652" w:type="pct"/>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宋体" w:hAnsi="宋体" w:eastAsia="宋体" w:cs="宋体"/>
                <w:kern w:val="0"/>
                <w:sz w:val="24"/>
                <w:szCs w:val="24"/>
                <w:lang w:val="en-US" w:eastAsia="zh-CN" w:bidi="ar"/>
              </w:rPr>
              <w:t xml:space="preserve">0.2 </w:t>
            </w:r>
          </w:p>
        </w:tc>
        <w:tc>
          <w:tcPr>
            <w:tcW w:w="652" w:type="pct"/>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宋体" w:hAnsi="宋体" w:eastAsia="宋体" w:cs="宋体"/>
                <w:kern w:val="0"/>
                <w:sz w:val="24"/>
                <w:szCs w:val="24"/>
                <w:lang w:val="en-US" w:eastAsia="zh-CN" w:bidi="ar"/>
              </w:rPr>
              <w:t xml:space="preserve">0.1 </w:t>
            </w:r>
          </w:p>
        </w:tc>
        <w:tc>
          <w:tcPr>
            <w:tcW w:w="869" w:type="pct"/>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宋体" w:hAnsi="宋体" w:eastAsia="宋体" w:cs="宋体"/>
                <w:kern w:val="0"/>
                <w:sz w:val="24"/>
                <w:szCs w:val="24"/>
                <w:lang w:val="en-US" w:eastAsia="zh-CN" w:bidi="ar"/>
              </w:rPr>
              <w:t xml:space="preserve">0.15 </w:t>
            </w:r>
          </w:p>
        </w:tc>
      </w:tr>
    </w:tbl>
    <w:p>
      <w:pPr>
        <w:pStyle w:val="7"/>
        <w:keepNext w:val="0"/>
        <w:keepLines w:val="0"/>
        <w:widowControl/>
        <w:suppressLineNumbers w:val="0"/>
      </w:pPr>
      <w:r>
        <w:t>其中市场份额是按各个</w:t>
      </w:r>
      <w:r>
        <w:rPr>
          <w:rFonts w:hint="eastAsia"/>
          <w:lang w:eastAsia="zh-CN"/>
        </w:rPr>
        <w:t>服务</w:t>
      </w:r>
      <w:r>
        <w:t>在各市场的销售数量的占有率，分别计算标准分后再求平均的</w:t>
      </w:r>
    </w:p>
    <w:p>
      <w:pPr>
        <w:pStyle w:val="3"/>
        <w:keepNext w:val="0"/>
        <w:keepLines w:val="0"/>
        <w:widowControl/>
        <w:suppressLineNumbers w:val="0"/>
      </w:pPr>
      <w:r>
        <w:t>各项指标标准算法</w:t>
      </w:r>
    </w:p>
    <w:p>
      <w:pPr>
        <w:pStyle w:val="7"/>
        <w:keepNext w:val="0"/>
        <w:keepLines w:val="0"/>
        <w:widowControl/>
        <w:suppressLineNumbers w:val="0"/>
      </w:pPr>
      <w:r>
        <w:t>标准分的算法是先求全部公司某项指标的均值和标准差，用企业的指标减去均值，再除以该指标的标准差。标准分为0意味着企业的这一指标等于各企业的均值；标准分为正，表示该指标较好；若为负，表示该指标不佳。</w:t>
      </w:r>
    </w:p>
    <w:p>
      <w:pPr>
        <w:pStyle w:val="3"/>
        <w:keepNext w:val="0"/>
        <w:keepLines w:val="0"/>
        <w:widowControl/>
        <w:suppressLineNumbers w:val="0"/>
      </w:pPr>
      <w:r>
        <w:t>期末现金对评分的影响</w:t>
      </w:r>
    </w:p>
    <w:p>
      <w:pPr>
        <w:pStyle w:val="7"/>
        <w:keepNext w:val="0"/>
        <w:keepLines w:val="0"/>
        <w:widowControl/>
        <w:suppressLineNumbers w:val="0"/>
      </w:pPr>
      <w:r>
        <w:t>在计算标准分时，会考虑上期综合评分的影响，也会根据企业的发展潜力进行调整。如果企业所留现金小于本期期初现金或本期成本，这意味着经营的连续性不佳，其标准分将适 当下调。</w:t>
      </w:r>
    </w:p>
    <w:p>
      <w:pPr>
        <w:pStyle w:val="2"/>
        <w:keepNext w:val="0"/>
        <w:keepLines w:val="0"/>
        <w:widowControl/>
        <w:suppressLineNumbers w:val="0"/>
      </w:pPr>
      <w:r>
        <w:rPr>
          <w:rFonts w:hint="eastAsia"/>
          <w:lang w:val="en-US" w:eastAsia="zh-CN"/>
        </w:rPr>
        <w:t>八</w:t>
      </w:r>
      <w:r>
        <w:t>、现 金 收 支 次 序</w:t>
      </w:r>
    </w:p>
    <w:p>
      <w:pPr>
        <w:pStyle w:val="7"/>
        <w:keepNext w:val="0"/>
        <w:keepLines w:val="0"/>
        <w:widowControl/>
        <w:suppressLineNumbers w:val="0"/>
      </w:pPr>
      <w:r>
        <w:t>期初现金+银行贷款+发行债券-部分债券本金-债券息-培训费-退休费</w:t>
      </w:r>
    </w:p>
    <w:p>
      <w:pPr>
        <w:pStyle w:val="7"/>
        <w:keepNext w:val="0"/>
        <w:keepLines w:val="0"/>
        <w:widowControl/>
        <w:suppressLineNumbers w:val="0"/>
      </w:pPr>
      <w:r>
        <w:t>—基本工资-</w:t>
      </w:r>
      <w:r>
        <w:rPr>
          <w:rFonts w:hint="eastAsia"/>
          <w:lang w:val="en-US" w:eastAsia="zh-CN"/>
        </w:rPr>
        <w:t>固定资产维护</w:t>
      </w:r>
      <w:r>
        <w:t>费</w:t>
      </w:r>
      <w:r>
        <w:rPr>
          <w:rFonts w:hint="eastAsia"/>
          <w:lang w:val="en-US" w:eastAsia="zh-CN"/>
        </w:rPr>
        <w:t>-变动资产投入费</w:t>
      </w:r>
      <w:r>
        <w:t>+紧急救援贷款-</w:t>
      </w:r>
      <w:r>
        <w:rPr>
          <w:rFonts w:hint="eastAsia"/>
          <w:lang w:eastAsia="zh-CN"/>
        </w:rPr>
        <w:t>品牌投入</w:t>
      </w:r>
      <w:r>
        <w:t>费</w:t>
      </w:r>
    </w:p>
    <w:p>
      <w:pPr>
        <w:pStyle w:val="7"/>
        <w:keepNext w:val="0"/>
        <w:keepLines w:val="0"/>
        <w:widowControl/>
        <w:suppressLineNumbers w:val="0"/>
      </w:pPr>
      <w:r>
        <w:t>—</w:t>
      </w:r>
      <w:r>
        <w:rPr>
          <w:rFonts w:hint="eastAsia"/>
          <w:lang w:val="en-US" w:eastAsia="zh-CN"/>
        </w:rPr>
        <w:t>绩效工资</w:t>
      </w:r>
      <w:r>
        <w:t>-管理费-广告费-促销费+</w:t>
      </w:r>
      <w:r>
        <w:rPr>
          <w:rFonts w:hint="eastAsia"/>
          <w:lang w:val="en-US" w:eastAsia="zh-CN"/>
        </w:rPr>
        <w:t>服务</w:t>
      </w:r>
      <w:r>
        <w:t>收入+上期国债本息-本期银行贷款本息</w:t>
      </w:r>
    </w:p>
    <w:p>
      <w:pPr>
        <w:pStyle w:val="7"/>
        <w:keepNext w:val="0"/>
        <w:keepLines w:val="0"/>
        <w:widowControl/>
        <w:suppressLineNumbers w:val="0"/>
      </w:pPr>
      <w:r>
        <w:t>—上期紧急救援贷款本息-税金-买</w:t>
      </w:r>
      <w:r>
        <w:rPr>
          <w:rFonts w:hint="eastAsia"/>
          <w:lang w:val="en-US" w:eastAsia="zh-CN"/>
        </w:rPr>
        <w:t>固定资产</w:t>
      </w:r>
      <w:r>
        <w:t>-分红-买国债</w:t>
      </w:r>
    </w:p>
    <w:p>
      <w:pPr>
        <w:pStyle w:val="7"/>
        <w:keepNext w:val="0"/>
        <w:keepLines w:val="0"/>
        <w:widowControl/>
        <w:suppressLineNumbers w:val="0"/>
      </w:pPr>
      <w:r>
        <w:t>警告：当资金不足时，将按以上次序支出，并修改决策。如果现金不够支付机器维修费用以前的项目，会得到紧急救援贷款。此贷款年利率为40%本息需在下期末偿还。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5E28B6"/>
    <w:rsid w:val="025E28B6"/>
    <w:rsid w:val="129234B5"/>
    <w:rsid w:val="1AB81F94"/>
    <w:rsid w:val="302E73A5"/>
    <w:rsid w:val="6BCD32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Hyperlink"/>
    <w:basedOn w:val="9"/>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63</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2020-06-30T03:24:00Z</dcterms:created>
  <dc:creator>Ms.秀</dc:creator>
  <cp:lastModifiedBy>Administrator</cp:lastModifiedBy>
  <dcterms:modified xsi:type="dcterms:W3CDTF">2020-07-01T07:32:28Z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