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359AE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30046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</w:t>
      </w:r>
      <w:r w:rsidRPr="00B30046">
        <w:rPr>
          <w:rFonts w:ascii="Times New Roman" w:hAnsi="Times New Roman" w:cs="Times New Roman"/>
          <w:color w:val="000000"/>
          <w:sz w:val="28"/>
          <w:szCs w:val="28"/>
        </w:rPr>
        <w:br/>
        <w:t>РОССИЙСКОЙ ФЕДЕРАЦИИ</w:t>
      </w:r>
    </w:p>
    <w:p w14:paraId="2AF43696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30046">
        <w:rPr>
          <w:rFonts w:ascii="Times New Roman" w:hAnsi="Times New Roman" w:cs="Times New Roman"/>
          <w:color w:val="000000"/>
          <w:sz w:val="28"/>
          <w:szCs w:val="28"/>
        </w:rPr>
        <w:br/>
        <w:t>Московский Физико-Технический Институт</w:t>
      </w:r>
      <w:r w:rsidRPr="00B30046">
        <w:rPr>
          <w:rFonts w:ascii="Times New Roman" w:hAnsi="Times New Roman" w:cs="Times New Roman"/>
          <w:color w:val="000000"/>
          <w:sz w:val="28"/>
          <w:szCs w:val="28"/>
        </w:rPr>
        <w:br/>
        <w:t>(Государственный Университет)</w:t>
      </w:r>
    </w:p>
    <w:p w14:paraId="75DEF22E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4FDB8D0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4A7BED5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50BEDC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B6AA5A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0B233E2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F7D5950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 w:rsidRPr="00B30046">
        <w:rPr>
          <w:rFonts w:ascii="Times New Roman" w:hAnsi="Times New Roman" w:cs="Times New Roman"/>
          <w:color w:val="000000"/>
          <w:sz w:val="28"/>
          <w:szCs w:val="28"/>
        </w:rPr>
        <w:br/>
        <w:t>Лабораторная работа №33 по курсу квантовой электроники</w:t>
      </w:r>
      <w:r w:rsidRPr="00B3004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30046">
        <w:rPr>
          <w:rFonts w:ascii="Times New Roman" w:hAnsi="Times New Roman" w:cs="Times New Roman"/>
          <w:color w:val="000000"/>
          <w:sz w:val="40"/>
          <w:szCs w:val="40"/>
        </w:rPr>
        <w:t>Гауссовы оптические системы</w:t>
      </w:r>
    </w:p>
    <w:p w14:paraId="06D847C7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40"/>
          <w:szCs w:val="40"/>
        </w:rPr>
      </w:pPr>
    </w:p>
    <w:p w14:paraId="32465E8F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40"/>
          <w:szCs w:val="40"/>
        </w:rPr>
      </w:pPr>
    </w:p>
    <w:p w14:paraId="50A64F71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40"/>
          <w:szCs w:val="40"/>
        </w:rPr>
      </w:pPr>
    </w:p>
    <w:p w14:paraId="1742846F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40"/>
          <w:szCs w:val="40"/>
        </w:rPr>
      </w:pPr>
    </w:p>
    <w:p w14:paraId="6DDF5CC1" w14:textId="77777777" w:rsidR="001D16DB" w:rsidRPr="00B30046" w:rsidRDefault="001D16DB" w:rsidP="001D16DB">
      <w:pPr>
        <w:jc w:val="center"/>
        <w:rPr>
          <w:rFonts w:ascii="Times New Roman" w:hAnsi="Times New Roman" w:cs="Times New Roman"/>
          <w:color w:val="000000"/>
          <w:sz w:val="40"/>
          <w:szCs w:val="40"/>
        </w:rPr>
      </w:pPr>
    </w:p>
    <w:p w14:paraId="2CF64E6D" w14:textId="77777777" w:rsidR="001D16DB" w:rsidRPr="00B30046" w:rsidRDefault="001D16DB" w:rsidP="001D16DB">
      <w:pPr>
        <w:spacing w:after="0" w:line="257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B30046">
        <w:rPr>
          <w:rFonts w:ascii="Times New Roman" w:hAnsi="Times New Roman" w:cs="Times New Roman"/>
          <w:color w:val="000000"/>
          <w:sz w:val="24"/>
          <w:szCs w:val="24"/>
        </w:rPr>
        <w:t>Работу выполнили</w:t>
      </w:r>
      <w:r w:rsidRPr="00B30046">
        <w:rPr>
          <w:rFonts w:ascii="Times New Roman" w:hAnsi="Times New Roman" w:cs="Times New Roman"/>
          <w:color w:val="000000"/>
          <w:sz w:val="24"/>
          <w:szCs w:val="24"/>
        </w:rPr>
        <w:br/>
        <w:t>Шабанов Александр 652</w:t>
      </w:r>
    </w:p>
    <w:p w14:paraId="002B7E3F" w14:textId="77777777" w:rsidR="001D16DB" w:rsidRPr="00B30046" w:rsidRDefault="001D16DB" w:rsidP="001D16DB">
      <w:pPr>
        <w:spacing w:after="0" w:line="257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B30046">
        <w:rPr>
          <w:rFonts w:ascii="Times New Roman" w:hAnsi="Times New Roman" w:cs="Times New Roman"/>
          <w:color w:val="000000"/>
          <w:sz w:val="24"/>
          <w:szCs w:val="24"/>
        </w:rPr>
        <w:t>Смирнов Артур 654</w:t>
      </w:r>
    </w:p>
    <w:p w14:paraId="1F96F7C7" w14:textId="77777777" w:rsidR="001D16DB" w:rsidRPr="00B30046" w:rsidRDefault="001D16DB" w:rsidP="001D16DB">
      <w:pPr>
        <w:spacing w:after="0" w:line="257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B30046">
        <w:rPr>
          <w:rFonts w:ascii="Times New Roman" w:hAnsi="Times New Roman" w:cs="Times New Roman"/>
          <w:color w:val="000000"/>
          <w:sz w:val="24"/>
          <w:szCs w:val="24"/>
        </w:rPr>
        <w:t>Нехаев Александр 652</w:t>
      </w:r>
    </w:p>
    <w:p w14:paraId="7DAC4C4E" w14:textId="77777777" w:rsidR="001D16DB" w:rsidRPr="00B30046" w:rsidRDefault="001D16DB" w:rsidP="001D16DB">
      <w:pPr>
        <w:spacing w:after="0" w:line="257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B30046">
        <w:rPr>
          <w:rFonts w:ascii="Times New Roman" w:hAnsi="Times New Roman" w:cs="Times New Roman"/>
          <w:color w:val="000000"/>
          <w:sz w:val="24"/>
          <w:szCs w:val="24"/>
        </w:rPr>
        <w:t>Мингараев Ильназ 654</w:t>
      </w:r>
    </w:p>
    <w:p w14:paraId="55F851B5" w14:textId="77777777" w:rsidR="001D16DB" w:rsidRPr="00B30046" w:rsidRDefault="001D16DB" w:rsidP="001D16DB">
      <w:pPr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326372E2" w14:textId="77777777" w:rsidR="001D16DB" w:rsidRPr="00B30046" w:rsidRDefault="001D16DB" w:rsidP="001D16DB">
      <w:pPr>
        <w:jc w:val="right"/>
        <w:rPr>
          <w:rFonts w:ascii="Times New Roman" w:hAnsi="Times New Roman" w:cs="Times New Roman"/>
          <w:color w:val="000000"/>
        </w:rPr>
      </w:pPr>
    </w:p>
    <w:p w14:paraId="2C3B11AF" w14:textId="77777777" w:rsidR="001D16DB" w:rsidRPr="00B30046" w:rsidRDefault="001D16DB" w:rsidP="001D16DB">
      <w:pPr>
        <w:jc w:val="right"/>
        <w:rPr>
          <w:rFonts w:ascii="Times New Roman" w:hAnsi="Times New Roman" w:cs="Times New Roman"/>
          <w:color w:val="000000"/>
        </w:rPr>
      </w:pPr>
    </w:p>
    <w:p w14:paraId="5FCC314E" w14:textId="77777777" w:rsidR="001D16DB" w:rsidRPr="00B30046" w:rsidRDefault="001D16DB" w:rsidP="001D16DB">
      <w:pPr>
        <w:jc w:val="right"/>
        <w:rPr>
          <w:rFonts w:ascii="Times New Roman" w:hAnsi="Times New Roman" w:cs="Times New Roman"/>
          <w:color w:val="000000"/>
        </w:rPr>
      </w:pPr>
    </w:p>
    <w:p w14:paraId="378C6C61" w14:textId="77777777" w:rsidR="001D16DB" w:rsidRPr="00B30046" w:rsidRDefault="001D16DB" w:rsidP="001D16DB">
      <w:pPr>
        <w:ind w:right="440"/>
        <w:rPr>
          <w:rFonts w:ascii="Times New Roman" w:hAnsi="Times New Roman" w:cs="Times New Roman"/>
          <w:color w:val="000000"/>
        </w:rPr>
      </w:pPr>
    </w:p>
    <w:p w14:paraId="08DE26F6" w14:textId="77777777" w:rsidR="00B91CFB" w:rsidRDefault="00B91CFB" w:rsidP="001D16D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CC89675" w14:textId="77777777" w:rsidR="00B91CFB" w:rsidRDefault="00B91CFB" w:rsidP="001D16D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0059780" w14:textId="77777777" w:rsidR="00B91CFB" w:rsidRDefault="00B91CFB" w:rsidP="001D16D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A82C1D4" w14:textId="56AE0E94" w:rsidR="00B91CFB" w:rsidRPr="00B91CFB" w:rsidRDefault="001D16DB" w:rsidP="00B91CF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30046">
        <w:rPr>
          <w:rFonts w:ascii="Times New Roman" w:hAnsi="Times New Roman" w:cs="Times New Roman"/>
          <w:color w:val="000000"/>
          <w:sz w:val="24"/>
          <w:szCs w:val="24"/>
        </w:rPr>
        <w:t>Долгопрудный, 2020 г</w:t>
      </w:r>
    </w:p>
    <w:p w14:paraId="62CB4743" w14:textId="6E721596" w:rsidR="001D16DB" w:rsidRPr="00B91CFB" w:rsidRDefault="001D16DB" w:rsidP="00B91CF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0046">
        <w:rPr>
          <w:rFonts w:ascii="Times New Roman" w:hAnsi="Times New Roman" w:cs="Times New Roman"/>
          <w:color w:val="000000"/>
          <w:sz w:val="36"/>
          <w:szCs w:val="36"/>
        </w:rPr>
        <w:lastRenderedPageBreak/>
        <w:t>1. Цели</w:t>
      </w:r>
      <w:r w:rsidRPr="00B30046">
        <w:rPr>
          <w:rFonts w:ascii="Times New Roman" w:hAnsi="Times New Roman" w:cs="Times New Roman"/>
          <w:color w:val="000000"/>
          <w:sz w:val="34"/>
          <w:szCs w:val="34"/>
        </w:rPr>
        <w:br/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>1) Знакомство с принципами расчета гауссовых оптических систем и их резонаторов.</w:t>
      </w:r>
    </w:p>
    <w:p w14:paraId="09C25BE6" w14:textId="49E6FF8D" w:rsidR="004946B7" w:rsidRDefault="001D16DB" w:rsidP="00B91CF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91CFB">
        <w:rPr>
          <w:rFonts w:ascii="Times New Roman" w:hAnsi="Times New Roman" w:cs="Times New Roman"/>
          <w:color w:val="000000"/>
          <w:sz w:val="28"/>
          <w:szCs w:val="28"/>
        </w:rPr>
        <w:t>2) Измерение полуширины пучка с различным положением линзы, вычисление фокусного расстояния линзы по этим данным.</w:t>
      </w:r>
    </w:p>
    <w:p w14:paraId="4400C91B" w14:textId="58B72A9A" w:rsidR="004946B7" w:rsidRDefault="004946B7" w:rsidP="00B91CFB">
      <w:pPr>
        <w:spacing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B30046">
        <w:rPr>
          <w:rFonts w:ascii="Times New Roman" w:hAnsi="Times New Roman" w:cs="Times New Roman"/>
          <w:color w:val="000000"/>
          <w:sz w:val="36"/>
          <w:szCs w:val="36"/>
        </w:rPr>
        <w:t xml:space="preserve">2. </w:t>
      </w:r>
      <w:r>
        <w:rPr>
          <w:rFonts w:ascii="Times New Roman" w:hAnsi="Times New Roman" w:cs="Times New Roman"/>
          <w:color w:val="000000"/>
          <w:sz w:val="36"/>
          <w:szCs w:val="36"/>
        </w:rPr>
        <w:t>Схема установки</w:t>
      </w:r>
    </w:p>
    <w:p w14:paraId="05EA3422" w14:textId="32A84A84" w:rsidR="004946B7" w:rsidRDefault="004946B7" w:rsidP="00B91CF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Экспериментальная установка состоит из гелий-неонового лазера, фотодиода, расположенного на микрометрической подложке, и линзы, которая может быть установлена между лазером и фотодиодом в произвольной точке оптической оси между ними.</w:t>
      </w:r>
      <w:r w:rsidR="00D2116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фотодиода производится измерение распределения </w:t>
      </w:r>
      <w:r w:rsidR="00D2116F">
        <w:rPr>
          <w:rFonts w:ascii="Times New Roman" w:hAnsi="Times New Roman" w:cs="Times New Roman"/>
          <w:color w:val="000000"/>
          <w:sz w:val="28"/>
          <w:szCs w:val="28"/>
        </w:rPr>
        <w:t>интенсивности лазерного пучка в поперечном сечении при наличии и отсутствии линзы в системе. Схема экспериментальной установки представлена ниже:</w:t>
      </w:r>
    </w:p>
    <w:p w14:paraId="7D3F7FF8" w14:textId="7F645289" w:rsidR="00D2116F" w:rsidRDefault="00D2116F" w:rsidP="00766F57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814C18" wp14:editId="49E273FA">
            <wp:extent cx="5166360" cy="1798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экспериментальной установки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815" cy="18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B52" w14:textId="763741FF" w:rsidR="00D2116F" w:rsidRPr="00766F57" w:rsidRDefault="00766F57" w:rsidP="00766F57">
      <w:pPr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766F57">
        <w:rPr>
          <w:rFonts w:ascii="Times New Roman" w:hAnsi="Times New Roman" w:cs="Times New Roman"/>
          <w:color w:val="000000"/>
          <w:sz w:val="24"/>
          <w:szCs w:val="24"/>
        </w:rPr>
        <w:t>Рисунок 1. Схема экспериментальной установки</w:t>
      </w:r>
    </w:p>
    <w:p w14:paraId="54E2CB1E" w14:textId="77777777" w:rsidR="00804A68" w:rsidRDefault="00804A68" w:rsidP="00B91CFB">
      <w:pPr>
        <w:spacing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2CD23DA2" w14:textId="3DE6A8B4" w:rsidR="00B30046" w:rsidRPr="00B30046" w:rsidRDefault="00D2116F" w:rsidP="00B91CF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3</w:t>
      </w:r>
      <w:r w:rsidR="00AF4214" w:rsidRPr="00B30046">
        <w:rPr>
          <w:rFonts w:ascii="Times New Roman" w:hAnsi="Times New Roman" w:cs="Times New Roman"/>
          <w:color w:val="000000"/>
          <w:sz w:val="36"/>
          <w:szCs w:val="36"/>
        </w:rPr>
        <w:t>. Результаты</w:t>
      </w:r>
      <w:r w:rsidR="00AF4214" w:rsidRPr="00B30046">
        <w:rPr>
          <w:rFonts w:ascii="Times New Roman" w:hAnsi="Times New Roman" w:cs="Times New Roman"/>
          <w:color w:val="000000"/>
          <w:sz w:val="34"/>
          <w:szCs w:val="34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AF4214" w:rsidRPr="00B91CFB">
        <w:rPr>
          <w:rFonts w:ascii="Times New Roman" w:hAnsi="Times New Roman" w:cs="Times New Roman"/>
          <w:color w:val="000000"/>
          <w:sz w:val="28"/>
          <w:szCs w:val="28"/>
        </w:rPr>
        <w:t>.1. Измерение полуширины пучков</w:t>
      </w:r>
    </w:p>
    <w:p w14:paraId="65C3D9DE" w14:textId="258A0339" w:rsidR="00B30046" w:rsidRPr="00B30046" w:rsidRDefault="00AF4214" w:rsidP="00B3004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3004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6B3FD0" wp14:editId="223E63E5">
            <wp:extent cx="5410200" cy="311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8135" cy="31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876D" w14:textId="45B8C05A" w:rsidR="008243AF" w:rsidRPr="00B30046" w:rsidRDefault="008243AF" w:rsidP="00B30046">
      <w:pPr>
        <w:spacing w:line="276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B30046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766F57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B30046">
        <w:rPr>
          <w:rFonts w:ascii="Times New Roman" w:hAnsi="Times New Roman" w:cs="Times New Roman"/>
          <w:color w:val="000000"/>
          <w:sz w:val="24"/>
          <w:szCs w:val="24"/>
        </w:rPr>
        <w:t xml:space="preserve">. Распределение интенсивности лазерного излучения в поперечном сечении без линзы.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</w:rPr>
          <m:t>=0,175 мм</m:t>
        </m:r>
      </m:oMath>
    </w:p>
    <w:p w14:paraId="7D314034" w14:textId="77777777" w:rsidR="00AF4214" w:rsidRPr="00B30046" w:rsidRDefault="00AF4214" w:rsidP="00B3004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3004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89BB69D" wp14:editId="0A564539">
            <wp:extent cx="5448300" cy="317463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337" cy="318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0266" w14:textId="40707580" w:rsidR="008243AF" w:rsidRPr="00B30046" w:rsidRDefault="008243AF" w:rsidP="00B91CFB">
      <w:pPr>
        <w:spacing w:line="276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B30046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766F57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B30046">
        <w:rPr>
          <w:rFonts w:ascii="Times New Roman" w:hAnsi="Times New Roman" w:cs="Times New Roman"/>
          <w:color w:val="000000"/>
          <w:sz w:val="24"/>
          <w:szCs w:val="24"/>
        </w:rPr>
        <w:t xml:space="preserve">. Распределение интенсивности лазерного излучения в поперечном сечении с линзой на расстоянии 43,5 см.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</w:rPr>
          <m:t>=0,133 мм</m:t>
        </m:r>
      </m:oMath>
    </w:p>
    <w:p w14:paraId="6E5DF877" w14:textId="77777777" w:rsidR="008243AF" w:rsidRPr="00B30046" w:rsidRDefault="008243A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611DF46" w14:textId="77777777" w:rsidR="00AF4214" w:rsidRPr="00B30046" w:rsidRDefault="00AF4214" w:rsidP="00B91CF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3004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1FF63E" wp14:editId="4B3659E7">
            <wp:extent cx="5940425" cy="3421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4597" w14:textId="22C46752" w:rsidR="008243AF" w:rsidRDefault="008243AF" w:rsidP="00B91CFB">
      <w:pPr>
        <w:spacing w:line="276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B30046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766F57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B30046">
        <w:rPr>
          <w:rFonts w:ascii="Times New Roman" w:hAnsi="Times New Roman" w:cs="Times New Roman"/>
          <w:color w:val="000000"/>
          <w:sz w:val="24"/>
          <w:szCs w:val="24"/>
        </w:rPr>
        <w:t xml:space="preserve">. Распределение интенсивности лазерного излучения в поперечном сечении с линзой на расстоянии 36,5 см.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</w:rPr>
          <m:t>=0,785 мм</m:t>
        </m:r>
      </m:oMath>
    </w:p>
    <w:p w14:paraId="467BDDEE" w14:textId="77777777" w:rsidR="00B91CFB" w:rsidRPr="00B30046" w:rsidRDefault="00B91CFB" w:rsidP="00B91CFB">
      <w:pPr>
        <w:spacing w:line="276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</w:p>
    <w:p w14:paraId="5D0D7E6E" w14:textId="1D134687" w:rsidR="00AF4214" w:rsidRPr="00B91CFB" w:rsidRDefault="00D2116F" w:rsidP="00B91CFB">
      <w:pPr>
        <w:spacing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3</w:t>
      </w:r>
      <w:r w:rsidR="00AF4214" w:rsidRPr="00B91CFB">
        <w:rPr>
          <w:rFonts w:ascii="Times New Roman" w:hAnsi="Times New Roman" w:cs="Times New Roman"/>
          <w:color w:val="000000"/>
          <w:sz w:val="32"/>
          <w:szCs w:val="32"/>
        </w:rPr>
        <w:t>.2. Вычисление фокусного расстояния линзы</w:t>
      </w:r>
      <w:r w:rsidR="001D49F1" w:rsidRPr="00B91CFB">
        <w:rPr>
          <w:rFonts w:ascii="Times New Roman" w:hAnsi="Times New Roman" w:cs="Times New Roman"/>
          <w:color w:val="000000"/>
          <w:sz w:val="32"/>
          <w:szCs w:val="32"/>
        </w:rPr>
        <w:t xml:space="preserve"> и радиуса перетяжки</w:t>
      </w:r>
    </w:p>
    <w:p w14:paraId="69B83439" w14:textId="4B45FE00" w:rsidR="001D49F1" w:rsidRPr="00B91CFB" w:rsidRDefault="001D49F1" w:rsidP="00B91CFB">
      <w:pPr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</w:pPr>
      <w:r w:rsidRPr="00B91CFB">
        <w:rPr>
          <w:rFonts w:ascii="Times New Roman" w:hAnsi="Times New Roman" w:cs="Times New Roman"/>
          <w:color w:val="000000"/>
          <w:sz w:val="28"/>
          <w:szCs w:val="28"/>
        </w:rPr>
        <w:t xml:space="preserve">Для вычисления фокусного расстояния линзы было сделано предположение о том, что из диода выходит плоская волна с полушириной </w:t>
      </w:r>
      <w:r w:rsidRPr="00B91CFB"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="008243AF" w:rsidRPr="00B91CFB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B91CFB"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  <w:t xml:space="preserve"> и преобразуется, проходя через систему, согласно с законами матричной оптики. Подробный алгоритм нахождения описан в приложенн</w:t>
      </w:r>
      <w:r w:rsidR="00B30046" w:rsidRPr="00B91CFB"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  <w:t>ых фотографиях</w:t>
      </w:r>
      <w:r w:rsidRPr="00B91CFB"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  <w:t xml:space="preserve">. </w:t>
      </w:r>
    </w:p>
    <w:p w14:paraId="5AB86EFC" w14:textId="77777777" w:rsidR="001D49F1" w:rsidRPr="00B91CFB" w:rsidRDefault="001D49F1" w:rsidP="00B91CFB">
      <w:pPr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</w:pPr>
      <w:r w:rsidRPr="00B91CFB"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  <w:lastRenderedPageBreak/>
        <w:t>Исходя из данных для разных положений линзы получены следующие значения фокусного расстояния и радиуса перетяжки:</w:t>
      </w:r>
    </w:p>
    <w:p w14:paraId="7086922F" w14:textId="77777777" w:rsidR="00AF4214" w:rsidRPr="00B91CFB" w:rsidRDefault="00934C11" w:rsidP="00B91CFB">
      <w:pPr>
        <w:spacing w:line="24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eastAsia="ja-JP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eastAsia="ja-JP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eastAsia="ja-JP"/>
            </w:rPr>
            <m:t xml:space="preserve">=0,157 м,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eastAsia="ja-JP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eastAsia="ja-JP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eastAsia="ja-JP"/>
            </w:rPr>
            <m:t xml:space="preserve">=0,13 мм,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eastAsia="ja-JP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eastAsia="ja-JP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eastAsia="ja-JP"/>
            </w:rPr>
            <m:t>=0,169 м,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eastAsia="ja-JP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eastAsia="ja-JP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eastAsia="ja-JP"/>
            </w:rPr>
            <m:t>=0,15 мм</m:t>
          </m:r>
        </m:oMath>
      </m:oMathPara>
    </w:p>
    <w:p w14:paraId="75A310B4" w14:textId="24773241" w:rsidR="00AF4214" w:rsidRPr="00B30046" w:rsidRDefault="00D2116F" w:rsidP="00B91CFB">
      <w:pPr>
        <w:spacing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4</w:t>
      </w:r>
      <w:r w:rsidR="00AF4214" w:rsidRPr="00B30046">
        <w:rPr>
          <w:rFonts w:ascii="Times New Roman" w:hAnsi="Times New Roman" w:cs="Times New Roman"/>
          <w:color w:val="000000"/>
          <w:sz w:val="36"/>
          <w:szCs w:val="36"/>
        </w:rPr>
        <w:t>. Ответы на вопросы</w:t>
      </w:r>
    </w:p>
    <w:p w14:paraId="0BC4BE82" w14:textId="77777777" w:rsidR="00C90564" w:rsidRPr="00B91CFB" w:rsidRDefault="00C90564" w:rsidP="00B91CF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91CFB">
        <w:rPr>
          <w:rFonts w:ascii="Times New Roman" w:hAnsi="Times New Roman" w:cs="Times New Roman"/>
          <w:sz w:val="28"/>
          <w:szCs w:val="28"/>
        </w:rPr>
        <w:t>1. Для расчетов ГОС неприменимы апертуры, элементы нелинейной оптики вследствие того, что расчет ГОС с помощью матричного метода учитывает только явления, линейно влияющие на пучок в зависимости от его полуширины и радиуса расходимости и не учитывает зависимость поведения элементов от интенсивности падающего излучения.</w:t>
      </w:r>
    </w:p>
    <w:p w14:paraId="15CD311C" w14:textId="77777777" w:rsidR="00C90564" w:rsidRPr="00B91CFB" w:rsidRDefault="00C90564" w:rsidP="00B91CF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91CFB">
        <w:rPr>
          <w:rFonts w:ascii="Times New Roman" w:hAnsi="Times New Roman" w:cs="Times New Roman"/>
          <w:sz w:val="28"/>
          <w:szCs w:val="28"/>
        </w:rPr>
        <w:t>2. Для расчета положения перетяжки и диаметра нулевой моды в резонаторе с линзой предлагается использовать программу, вычисляющую эти величины путем перемножения матриц элементов резонатора и находящуюся на жестком диске компьютера в кабинете 113 НК.</w:t>
      </w:r>
    </w:p>
    <w:p w14:paraId="7BE1B544" w14:textId="77777777" w:rsidR="00AF4214" w:rsidRPr="00B91CFB" w:rsidRDefault="00C90564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91CFB">
        <w:rPr>
          <w:rFonts w:ascii="Times New Roman" w:hAnsi="Times New Roman" w:cs="Times New Roman"/>
          <w:sz w:val="28"/>
          <w:szCs w:val="28"/>
        </w:rPr>
        <w:t>3. Для любой резонансной системы, и в частности для оптического резонатора, добротность Q опреде</w:t>
      </w:r>
      <w:r w:rsidRPr="00B91CFB">
        <w:rPr>
          <w:rFonts w:ascii="Times New Roman" w:hAnsi="Times New Roman" w:cs="Times New Roman"/>
          <w:sz w:val="28"/>
          <w:szCs w:val="28"/>
        </w:rPr>
        <w:softHyphen/>
        <w:t>ляют как Q = 2л х (запасенная энергия)/(энергия, теряемая за один период колебания). Также Q-фактор резонатора можно интерпретировать как отноше</w:t>
      </w:r>
      <w:r w:rsidRPr="00B91CFB">
        <w:rPr>
          <w:rFonts w:ascii="Times New Roman" w:hAnsi="Times New Roman" w:cs="Times New Roman"/>
          <w:sz w:val="28"/>
          <w:szCs w:val="28"/>
        </w:rPr>
        <w:softHyphen/>
        <w:t xml:space="preserve">ние резонансной частоты v данной моды к ширине линии резонатора </w:t>
      </w:r>
      <w:r w:rsidR="00997A51" w:rsidRPr="00B91CFB">
        <w:rPr>
          <w:rFonts w:ascii="Times New Roman" w:hAnsi="Times New Roman" w:cs="Times New Roman"/>
          <w:sz w:val="28"/>
          <w:szCs w:val="28"/>
        </w:rPr>
        <w:t>Δ</w:t>
      </w:r>
      <w:r w:rsidR="00997A51" w:rsidRPr="00B91CF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97A51" w:rsidRPr="00B91CFB">
        <w:rPr>
          <w:rFonts w:ascii="Times New Roman" w:hAnsi="Times New Roman" w:cs="Times New Roman"/>
          <w:sz w:val="28"/>
          <w:szCs w:val="28"/>
        </w:rPr>
        <w:t xml:space="preserve">. Резонатор называется устойчивым, если для любой пары </w:t>
      </w:r>
      <w:r w:rsidR="00997A51" w:rsidRPr="00B91CF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97A51" w:rsidRPr="00B91CFB">
        <w:rPr>
          <w:rFonts w:ascii="Times New Roman" w:hAnsi="Times New Roman" w:cs="Times New Roman"/>
          <w:sz w:val="28"/>
          <w:szCs w:val="28"/>
        </w:rPr>
        <w:t>,</w:t>
      </w:r>
      <w:r w:rsidR="00997A51" w:rsidRPr="00B91CFB">
        <w:rPr>
          <w:rFonts w:ascii="Times New Roman" w:hAnsi="Times New Roman" w:cs="Times New Roman"/>
          <w:sz w:val="28"/>
          <w:szCs w:val="28"/>
          <w:lang w:val="en-US"/>
        </w:rPr>
        <w:t>ϕ</w:t>
      </w:r>
      <w:r w:rsidR="00997A51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и числа обходов </w:t>
      </w:r>
      <w:r w:rsidR="00997A51" w:rsidRPr="00B91CF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n</w:t>
      </w:r>
      <w:r w:rsidR="00997A51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ja-JP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eastAsia="ja-JP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 w:eastAsia="ja-JP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ja-JP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eastAsia="ja-JP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A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B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C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D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ja-JP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 w:eastAsia="ja-JP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 w:eastAsia="ja-JP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 w:eastAsia="ja-JP"/>
                    </w:rPr>
                    <m:t>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 w:eastAsia="ja-JP"/>
                    </w:rPr>
                    <m:t>φ</m:t>
                  </m:r>
                </m:e>
              </m:mr>
            </m:m>
          </m:e>
        </m:d>
      </m:oMath>
      <w:r w:rsidRPr="00B91CFB">
        <w:rPr>
          <w:rFonts w:ascii="Times New Roman" w:hAnsi="Times New Roman" w:cs="Times New Roman"/>
          <w:sz w:val="28"/>
          <w:szCs w:val="28"/>
        </w:rPr>
        <w:t xml:space="preserve"> </w:t>
      </w:r>
      <w:r w:rsidR="00997A51" w:rsidRPr="00B91CF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ja-JP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ja-JP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n</m:t>
            </m:r>
          </m:sub>
        </m:sSub>
      </m:oMath>
      <w:r w:rsidR="00997A51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остаются конечными. Критерием устойчивости является выполнение соотношения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eastAsia="ja-JP"/>
          </w:rPr>
          <m:t>0&lt;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ja-JP"/>
          </w:rPr>
          <m:t>&lt;1</m:t>
        </m:r>
      </m:oMath>
      <w:r w:rsidR="00997A51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ja-JP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ja-JP"/>
          </w:rPr>
          <m:t>=1-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ja-JP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ja-JP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ja-JP"/>
                  </w:rPr>
                  <m:t>n</m:t>
                </m:r>
              </m:sub>
            </m:sSub>
          </m:den>
        </m:f>
      </m:oMath>
      <w:r w:rsidR="00997A51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. </w:t>
      </w:r>
      <w:r w:rsidR="00997A51" w:rsidRPr="00B91CF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L</w:t>
      </w:r>
      <w:r w:rsidR="00997A51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 w:rsidR="00AE2F5A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>– максимальное расстояние между зеркалами резонатора</w:t>
      </w:r>
      <w:r w:rsidR="00997A51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n</m:t>
            </m:r>
          </m:sub>
        </m:sSub>
      </m:oMath>
      <w:r w:rsidR="00AE2F5A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- радиус кривизны </w:t>
      </w:r>
      <w:r w:rsidR="00AE2F5A" w:rsidRPr="00B91CF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n</w:t>
      </w:r>
      <w:r w:rsidR="00AE2F5A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>-ого зеркала резонатора.</w:t>
      </w:r>
    </w:p>
    <w:p w14:paraId="1CF3F774" w14:textId="246BDF81" w:rsidR="00AE2F5A" w:rsidRDefault="00AE2F5A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>4.</w:t>
      </w:r>
      <w:r w:rsidR="001602AB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Для расчета фокусного расстояния линзы на выходе из диода возьмем плоской волну до нее, а потом, применив метод из 2.2 и добавив в схему еще одну линзу, </w:t>
      </w:r>
      <w:r w:rsidR="00B30046" w:rsidRPr="00B91CFB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получаем систему уравнений для искомых величин:</w:t>
      </w:r>
    </w:p>
    <w:p w14:paraId="596A0F9C" w14:textId="54E5B2E8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0B0D42F4" w14:textId="16CE47DC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02A785C3" w14:textId="6FC33E36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30369C8D" w14:textId="3A208C3D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0DB0D0C9" w14:textId="53467394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50CCD652" w14:textId="5D46F4A9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0624CE51" w14:textId="4D0BA183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523FFF3F" w14:textId="7C2FF9DC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5791754A" w14:textId="024D8834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736EF114" w14:textId="02238355" w:rsid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2772100C" w14:textId="77777777" w:rsidR="00B91CFB" w:rsidRPr="00B91CFB" w:rsidRDefault="00B91CFB" w:rsidP="00B91CFB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08EBAA45" w14:textId="4256792C" w:rsidR="00B30046" w:rsidRDefault="00B30046" w:rsidP="00B30046">
      <w:pPr>
        <w:spacing w:line="240" w:lineRule="auto"/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  <w:lang w:eastAsia="ja-JP"/>
        </w:rPr>
        <w:lastRenderedPageBreak/>
        <w:drawing>
          <wp:inline distT="0" distB="0" distL="0" distR="0" wp14:anchorId="1F4EE917" wp14:editId="585394DD">
            <wp:extent cx="6469380" cy="45203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850" cy="45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5572" w14:textId="23F718E9" w:rsidR="00B91CFB" w:rsidRPr="00B30046" w:rsidRDefault="00B91CFB" w:rsidP="00B30046">
      <w:pPr>
        <w:spacing w:line="240" w:lineRule="auto"/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  <w:lang w:eastAsia="ja-JP"/>
        </w:rPr>
        <w:drawing>
          <wp:inline distT="0" distB="0" distL="0" distR="0" wp14:anchorId="598366AE" wp14:editId="335FD2E7">
            <wp:extent cx="6488881" cy="46710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466" cy="46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D975" w14:textId="781FA38B" w:rsidR="001602AB" w:rsidRDefault="00B91CFB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3EE65DB6" wp14:editId="49BF6799">
            <wp:extent cx="6664406" cy="90830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026" cy="91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F7C4" w14:textId="4D67E4EF" w:rsidR="00B91CFB" w:rsidRDefault="00B91CFB">
      <w:pPr>
        <w:rPr>
          <w:rFonts w:ascii="Times New Roman" w:hAnsi="Times New Roman" w:cs="Times New Roman"/>
          <w:i/>
        </w:rPr>
      </w:pPr>
    </w:p>
    <w:p w14:paraId="25C69358" w14:textId="4E0F6DBC" w:rsidR="00495716" w:rsidRDefault="00495716">
      <w:pPr>
        <w:rPr>
          <w:rFonts w:ascii="Times New Roman" w:hAnsi="Times New Roman" w:cs="Times New Roman"/>
          <w:i/>
        </w:rPr>
      </w:pPr>
    </w:p>
    <w:p w14:paraId="40F1AC2C" w14:textId="53168750" w:rsidR="00495716" w:rsidRDefault="0049571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2251E520" wp14:editId="0C75DA28">
            <wp:extent cx="6645910" cy="96805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8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BC73" w14:textId="12AF4EB5" w:rsidR="00B91CFB" w:rsidRDefault="00B91CFB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46BDE02E" wp14:editId="3BB644BA">
            <wp:extent cx="6629400" cy="97598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979" cy="97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4028" w14:textId="3E9796DA" w:rsidR="00804A68" w:rsidRDefault="00804A68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lastRenderedPageBreak/>
        <w:t>5</w:t>
      </w:r>
      <w:r w:rsidRPr="00B30046">
        <w:rPr>
          <w:rFonts w:ascii="Times New Roman" w:hAnsi="Times New Roman" w:cs="Times New Roman"/>
          <w:color w:val="000000"/>
          <w:sz w:val="36"/>
          <w:szCs w:val="36"/>
        </w:rPr>
        <w:t xml:space="preserve">. </w:t>
      </w:r>
      <w:r>
        <w:rPr>
          <w:rFonts w:ascii="Times New Roman" w:hAnsi="Times New Roman" w:cs="Times New Roman"/>
          <w:color w:val="000000"/>
          <w:sz w:val="36"/>
          <w:szCs w:val="36"/>
        </w:rPr>
        <w:t>Выводы</w:t>
      </w:r>
    </w:p>
    <w:p w14:paraId="58830F3F" w14:textId="3C49FA4F" w:rsidR="00804A68" w:rsidRPr="001C0F8B" w:rsidRDefault="001C0F8B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ходе проведения лабораторной работы мы ознакомились с основами теории лазерных резонаторов и методами анализа лазерных пучков, в результате измерения распределения интенсивности лазерного пучка в поперечном сечении определили </w:t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>полуширин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 xml:space="preserve"> пучка </w:t>
      </w:r>
      <w:r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 xml:space="preserve"> различны</w:t>
      </w:r>
      <w:r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 xml:space="preserve"> положени</w:t>
      </w:r>
      <w:r>
        <w:rPr>
          <w:rFonts w:ascii="Times New Roman" w:hAnsi="Times New Roman" w:cs="Times New Roman"/>
          <w:color w:val="000000"/>
          <w:sz w:val="28"/>
          <w:szCs w:val="28"/>
        </w:rPr>
        <w:t>ях</w:t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 xml:space="preserve"> линзы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на основе полученных данных</w:t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 xml:space="preserve"> вычисл</w:t>
      </w:r>
      <w:r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 xml:space="preserve"> фокусно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 xml:space="preserve"> расстояни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B91CFB">
        <w:rPr>
          <w:rFonts w:ascii="Times New Roman" w:hAnsi="Times New Roman" w:cs="Times New Roman"/>
          <w:color w:val="000000"/>
          <w:sz w:val="28"/>
          <w:szCs w:val="28"/>
        </w:rPr>
        <w:t xml:space="preserve"> линзы</w:t>
      </w:r>
      <w:r>
        <w:rPr>
          <w:rFonts w:ascii="Times New Roman" w:hAnsi="Times New Roman" w:cs="Times New Roman"/>
          <w:color w:val="000000"/>
          <w:sz w:val="28"/>
          <w:szCs w:val="28"/>
        </w:rPr>
        <w:t>. Измеренное экспериментально фокусное расстояние линзы оказалось близко к истинному значению, исходя из чего</w:t>
      </w:r>
      <w:r w:rsidR="001F3FB5">
        <w:rPr>
          <w:rFonts w:ascii="Times New Roman" w:hAnsi="Times New Roman" w:cs="Times New Roman"/>
          <w:color w:val="000000"/>
          <w:sz w:val="28"/>
          <w:szCs w:val="28"/>
        </w:rPr>
        <w:t xml:space="preserve"> был сделан вывод о корректности применения матричной оптики в </w:t>
      </w:r>
      <w:r w:rsidR="00934C11">
        <w:rPr>
          <w:rFonts w:ascii="Times New Roman" w:hAnsi="Times New Roman" w:cs="Times New Roman"/>
          <w:color w:val="000000"/>
          <w:sz w:val="28"/>
          <w:szCs w:val="28"/>
        </w:rPr>
        <w:t>выполненной работе.</w:t>
      </w:r>
    </w:p>
    <w:sectPr w:rsidR="00804A68" w:rsidRPr="001C0F8B" w:rsidSect="00B91C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6DB"/>
    <w:rsid w:val="001602AB"/>
    <w:rsid w:val="001C0F8B"/>
    <w:rsid w:val="001D16DB"/>
    <w:rsid w:val="001D49F1"/>
    <w:rsid w:val="001F3FB5"/>
    <w:rsid w:val="00291958"/>
    <w:rsid w:val="00302810"/>
    <w:rsid w:val="004946B7"/>
    <w:rsid w:val="00495716"/>
    <w:rsid w:val="00766F57"/>
    <w:rsid w:val="00804A68"/>
    <w:rsid w:val="008243AF"/>
    <w:rsid w:val="00876119"/>
    <w:rsid w:val="00934C11"/>
    <w:rsid w:val="00997A51"/>
    <w:rsid w:val="00AE2F5A"/>
    <w:rsid w:val="00AF4214"/>
    <w:rsid w:val="00B30046"/>
    <w:rsid w:val="00B91CFB"/>
    <w:rsid w:val="00B9762B"/>
    <w:rsid w:val="00C160FB"/>
    <w:rsid w:val="00C90564"/>
    <w:rsid w:val="00CB00ED"/>
    <w:rsid w:val="00D2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B33F0"/>
  <w15:chartTrackingRefBased/>
  <w15:docId w15:val="{75BAD719-1581-4965-8C17-A47E2AB4E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16DB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D49F1"/>
    <w:rPr>
      <w:color w:val="808080"/>
    </w:rPr>
  </w:style>
  <w:style w:type="paragraph" w:styleId="a4">
    <w:name w:val="List Paragraph"/>
    <w:basedOn w:val="a"/>
    <w:uiPriority w:val="34"/>
    <w:qFormat/>
    <w:rsid w:val="00B91C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2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Ильназ Мингараев</cp:lastModifiedBy>
  <cp:revision>2</cp:revision>
  <dcterms:created xsi:type="dcterms:W3CDTF">2020-05-06T20:47:00Z</dcterms:created>
  <dcterms:modified xsi:type="dcterms:W3CDTF">2020-05-26T08:32:00Z</dcterms:modified>
</cp:coreProperties>
</file>