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</w:pPr>
      <w:r>
        <w:rPr>
          <w:rtl w:val="0"/>
        </w:rPr>
        <w:t xml:space="preserve">Работа </w:t>
      </w:r>
      <w:r>
        <w:rPr>
          <w:rtl w:val="0"/>
        </w:rPr>
        <w:t>2.2.1</w:t>
      </w:r>
    </w:p>
    <w:p>
      <w:pPr>
        <w:pStyle w:val="Заголовок"/>
        <w:bidi w:val="0"/>
      </w:pPr>
      <w:r>
        <w:rPr>
          <w:rtl w:val="0"/>
        </w:rPr>
        <w:t>Исследование взаимной диффузии газов</w:t>
      </w:r>
    </w:p>
    <w:p>
      <w:pPr>
        <w:pStyle w:val="Текстовый блок"/>
        <w:rPr>
          <w:b w:val="1"/>
          <w:bCs w:val="1"/>
        </w:rPr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Цель работы</w:t>
      </w:r>
      <w:r>
        <w:rPr>
          <w:b w:val="1"/>
          <w:bCs w:val="1"/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  <w:lang w:val="ru-RU"/>
        </w:rPr>
        <w:t>регистрация зависимости концентрации гелия в воздухе от времени с помощью датчиков теплопроводности при разных давлениях смеси газов</w:t>
      </w:r>
      <w:r>
        <w:rPr>
          <w:rtl w:val="0"/>
        </w:rPr>
        <w:t>;</w:t>
      </w: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  <w:lang w:val="ru-RU"/>
        </w:rPr>
        <w:t>определение коэффициента</w:t>
      </w:r>
      <w:r>
        <w:rPr>
          <w:rtl w:val="0"/>
        </w:rPr>
        <w:t xml:space="preserve"> </w:t>
      </w:r>
      <w:r>
        <w:rPr>
          <w:rtl w:val="0"/>
          <w:lang w:val="ru-RU"/>
        </w:rPr>
        <w:t>диффузии по результатам измерений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 работе используются</w:t>
      </w:r>
      <w:r>
        <w:rPr>
          <w:b w:val="1"/>
          <w:bCs w:val="1"/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>измерит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2777400</wp:posOffset>
            </wp:positionV>
            <wp:extent cx="6120057" cy="46725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72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ельная установка</w:t>
      </w:r>
      <w:r>
        <w:rPr>
          <w:rtl w:val="0"/>
        </w:rPr>
        <w:t xml:space="preserve">, </w:t>
      </w:r>
      <w:r>
        <w:rPr>
          <w:rtl w:val="0"/>
          <w:lang w:val="ru-RU"/>
        </w:rPr>
        <w:t>форвакуумный</w:t>
      </w:r>
      <w:r>
        <w:rPr>
          <w:rtl w:val="0"/>
        </w:rPr>
        <w:t xml:space="preserve"> </w:t>
      </w:r>
      <w:r>
        <w:rPr>
          <w:rtl w:val="0"/>
        </w:rPr>
        <w:t>насос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баллон с газом </w:t>
      </w:r>
      <w:r>
        <w:rPr>
          <w:rtl w:val="0"/>
        </w:rPr>
        <w:t>(</w:t>
      </w:r>
      <w:r>
        <w:rPr>
          <w:rtl w:val="0"/>
          <w:lang w:val="ru-RU"/>
        </w:rPr>
        <w:t>гелий</w:t>
      </w:r>
      <w:r>
        <w:rPr>
          <w:rtl w:val="0"/>
        </w:rPr>
        <w:t xml:space="preserve">), </w:t>
      </w:r>
      <w:r>
        <w:rPr>
          <w:rtl w:val="0"/>
        </w:rPr>
        <w:t>манометр</w:t>
      </w:r>
      <w:r>
        <w:rPr>
          <w:rtl w:val="0"/>
        </w:rPr>
        <w:t xml:space="preserve">, </w:t>
      </w:r>
      <w:r>
        <w:rPr>
          <w:rtl w:val="0"/>
          <w:lang w:val="ru-RU"/>
        </w:rPr>
        <w:t>источник питания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магазин сопротивлений</w:t>
      </w:r>
      <w:r>
        <w:rPr>
          <w:rtl w:val="0"/>
        </w:rPr>
        <w:t xml:space="preserve">, </w:t>
      </w:r>
      <w:r>
        <w:rPr>
          <w:rtl w:val="0"/>
        </w:rPr>
        <w:t>гальванометр</w:t>
      </w:r>
      <w:r>
        <w:rPr>
          <w:rtl w:val="0"/>
        </w:rPr>
        <w:t xml:space="preserve">, </w:t>
      </w:r>
      <w:r>
        <w:rPr>
          <w:rtl w:val="0"/>
          <w:lang w:val="ru-RU"/>
        </w:rPr>
        <w:t>секундомер</w:t>
      </w:r>
      <w:r>
        <w:rPr>
          <w:rtl w:val="0"/>
        </w:rPr>
        <w:t>.</w:t>
      </w:r>
    </w:p>
    <w:p>
      <w:pPr>
        <w:pStyle w:val="Текстовый блок"/>
        <w:rPr>
          <w:rStyle w:val="Нет"/>
          <w:b w:val="0"/>
          <w:bCs w:val="0"/>
        </w:rPr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</w:rPr>
        <w:t>Устройство установки</w:t>
      </w:r>
      <w:r>
        <w:rPr>
          <w:b w:val="1"/>
          <w:bCs w:val="1"/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>Где</w:t>
      </w:r>
      <w:r>
        <w:rPr>
          <w:rtl w:val="0"/>
        </w:rPr>
        <w:t xml:space="preserve">: </w:t>
      </w:r>
      <w:r>
        <w:rPr>
          <w:rtl w:val="0"/>
        </w:rPr>
        <w:t>Ф</w:t>
      </w:r>
      <w:r>
        <w:rPr>
          <w:rtl w:val="0"/>
        </w:rPr>
        <w:t>.</w:t>
      </w:r>
      <w:r>
        <w:rPr>
          <w:rtl w:val="0"/>
          <w:lang w:val="ru-RU"/>
        </w:rPr>
        <w:t>Н– форвакуумный насос</w:t>
      </w:r>
      <w:r>
        <w:rPr>
          <w:rtl w:val="0"/>
        </w:rPr>
        <w:t xml:space="preserve">, </w:t>
      </w:r>
      <w:r>
        <w:rPr>
          <w:rtl w:val="0"/>
          <w:lang w:val="ru-RU"/>
        </w:rPr>
        <w:t>Т– выключатель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>.</w:t>
      </w:r>
      <w:r>
        <w:rPr>
          <w:rtl w:val="0"/>
          <w:lang w:val="ru-RU"/>
        </w:rPr>
        <w:t>Б– предохранительный баллон</w:t>
      </w:r>
      <w:r>
        <w:rPr>
          <w:rtl w:val="0"/>
        </w:rPr>
        <w:t xml:space="preserve">, V </w:t>
      </w:r>
      <w:r>
        <w:rPr>
          <w:rtl w:val="0"/>
          <w:lang w:val="ru-RU"/>
        </w:rPr>
        <w:t>– сосуды</w:t>
      </w:r>
      <w:r>
        <w:rPr>
          <w:rtl w:val="0"/>
        </w:rPr>
        <w:t xml:space="preserve">, </w:t>
      </w:r>
      <w:r>
        <w:rPr>
          <w:rtl w:val="0"/>
        </w:rPr>
        <w:t>М – манометр</w:t>
      </w:r>
      <w:r>
        <w:rPr>
          <w:rtl w:val="0"/>
        </w:rPr>
        <w:t>,</w:t>
      </w:r>
    </w:p>
    <w:p>
      <w:pPr>
        <w:pStyle w:val="Текстовый блок"/>
        <w:bidi w:val="0"/>
      </w:pPr>
      <w:r>
        <w:rPr>
          <w:rtl w:val="0"/>
        </w:rPr>
        <w:t xml:space="preserve">D </w:t>
      </w:r>
      <w:r>
        <w:rPr>
          <w:rtl w:val="0"/>
        </w:rPr>
        <w:t>– датчики теплопроводности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</w:rPr>
        <w:t xml:space="preserve">Устройство крана с дозатором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</w:rPr>
        <w:t>К</w:t>
      </w:r>
      <w:r>
        <w:rPr>
          <w:b w:val="1"/>
          <w:bCs w:val="1"/>
          <w:rtl w:val="0"/>
        </w:rPr>
        <w:t>6):</w:t>
      </w:r>
    </w:p>
    <w:p>
      <w:pPr>
        <w:pStyle w:val="Заголовок"/>
        <w:bidi w:val="0"/>
      </w:pPr>
      <w:r>
        <w:rPr>
          <w:rtl w:val="0"/>
        </w:rPr>
        <w:t>Теоретическая часть</w:t>
      </w:r>
    </w:p>
    <w:p>
      <w:pPr>
        <w:pStyle w:val="Текстовый блок"/>
        <w:bidi w:val="0"/>
      </w:pPr>
      <w:r>
        <w:rPr>
          <w:rtl w:val="0"/>
          <w:lang w:val="ru-RU"/>
        </w:rPr>
        <w:t>Рассмотрим взаимную диффузию двух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газов в сосудах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𝑉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и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𝑉</w:t>
      </w:r>
      <w:r>
        <w:rPr>
          <w:rtl w:val="0"/>
        </w:rPr>
        <w:t xml:space="preserve">2 </w:t>
      </w:r>
      <w:r>
        <w:rPr>
          <w:rtl w:val="0"/>
          <w:lang w:val="ru-RU"/>
        </w:rPr>
        <w:t xml:space="preserve">с концентрацией в них одного из газов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𝑛</w:t>
      </w:r>
      <w:r>
        <w:rPr>
          <w:rtl w:val="0"/>
        </w:rPr>
        <w:t>1</w:t>
      </w:r>
      <w:r>
        <w:rPr>
          <w:rtl w:val="0"/>
        </w:rPr>
        <w:t xml:space="preserve">и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𝑛</w:t>
      </w:r>
      <w:r>
        <w:rPr>
          <w:rtl w:val="0"/>
        </w:rPr>
        <w:t>2.</w:t>
      </w:r>
      <w:r>
        <w:rPr>
          <w:rtl w:val="0"/>
          <w:lang w:val="ru-RU"/>
        </w:rPr>
        <w:t xml:space="preserve"> </w:t>
      </w:r>
      <w:r>
        <w:rPr>
          <w:rtl w:val="0"/>
        </w:rPr>
        <w:t>Можно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записать закон Фика</w:t>
      </w:r>
      <w:r>
        <w:rPr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</m:t>
              </m:r>
            </m:num>
            <m:den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x</m:t>
              </m:r>
            </m:den>
          </m:f>
        </m:oMath>
      </m:oMathPara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где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𝐷</w:t>
      </w:r>
      <w:r>
        <w:rPr>
          <w:rtl w:val="0"/>
        </w:rPr>
        <w:t xml:space="preserve">- </w:t>
      </w:r>
      <w:r>
        <w:rPr>
          <w:rtl w:val="0"/>
          <w:lang w:val="ru-RU"/>
        </w:rPr>
        <w:t>коэффициент взаимной диффузии газов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𝑗</w:t>
      </w:r>
      <w:r>
        <w:rPr>
          <w:rtl w:val="0"/>
        </w:rPr>
        <w:t xml:space="preserve">- </w:t>
      </w:r>
      <w:r>
        <w:rPr>
          <w:rtl w:val="0"/>
          <w:lang w:val="ru-RU"/>
        </w:rPr>
        <w:t>плотность потока частиц</w:t>
      </w:r>
      <w:r>
        <w:rPr>
          <w:rtl w:val="0"/>
        </w:rPr>
        <w:t xml:space="preserve">. </w:t>
      </w:r>
      <w:r>
        <w:rPr>
          <w:rtl w:val="0"/>
          <w:lang w:val="ru-RU"/>
        </w:rPr>
        <w:t>В нашем случае закон упрощается</w:t>
      </w:r>
      <w:r>
        <w:rPr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</m:t>
              </m:r>
            </m:num>
            <m:den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x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S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</m:den>
          </m:f>
        </m:oMath>
      </m:oMathPara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Проинтегрировав выше написанное рав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2610860</wp:posOffset>
            </wp:positionH>
            <wp:positionV relativeFrom="page">
              <wp:posOffset>1194807</wp:posOffset>
            </wp:positionV>
            <wp:extent cx="2338335" cy="21844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335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енство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получаем </w:t>
      </w:r>
      <w:r>
        <w:rPr>
          <w:rtl w:val="0"/>
        </w:rPr>
        <w:t>(1):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)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0</m:t>
              </m:r>
            </m:sub>
          </m:sSub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e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τ</m:t>
              </m:r>
            </m:sup>
          </m:sSup>
        </m:oMath>
      </m:oMathPara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τ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den>
          </m:f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D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c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D</m:t>
              </m:r>
            </m:den>
          </m:f>
        </m:oMath>
      </m:oMathPara>
    </w:p>
    <w:p>
      <w:pPr>
        <w:pStyle w:val="Текстовый блок"/>
        <w:bidi w:val="0"/>
      </w:pPr>
      <w:r>
        <w:rPr>
          <w:rtl w:val="0"/>
          <w:lang w:val="ru-RU"/>
        </w:rPr>
        <w:t>Для измерения концентраций в данной работе используется зависимость теплопроводности газовой смеси от е</w:t>
      </w:r>
      <w:r>
        <w:rPr>
          <w:rtl w:val="0"/>
          <w:lang w:val="ru-RU"/>
        </w:rPr>
        <w:t>ё</w:t>
      </w:r>
      <w:r>
        <w:rPr>
          <w:rtl w:val="0"/>
        </w:rPr>
        <w:t xml:space="preserve"> состава</w:t>
      </w:r>
      <w:r>
        <w:rPr>
          <w:rtl w:val="0"/>
        </w:rPr>
        <w:t xml:space="preserve">. </w:t>
      </w:r>
      <w:r>
        <w:rPr>
          <w:rtl w:val="0"/>
        </w:rPr>
        <w:t>Количество тепла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передающееся от тонкой проволоки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𝑟</w:t>
      </w:r>
      <w:r>
        <w:rPr>
          <w:rtl w:val="0"/>
        </w:rPr>
        <w:t>pr</w:t>
      </w:r>
      <w:r>
        <w:rPr>
          <w:rtl w:val="0"/>
        </w:rPr>
        <w:t xml:space="preserve">, </w:t>
      </w:r>
      <w:r>
        <w:rPr>
          <w:rtl w:val="0"/>
        </w:rPr>
        <w:t xml:space="preserve">протянутой вдоль оси цилиндра </w:t>
      </w:r>
      <w:r>
        <w:rPr>
          <w:rtl w:val="0"/>
        </w:rPr>
        <w:t xml:space="preserve">c </w:t>
      </w:r>
      <w:r>
        <w:rPr>
          <w:rtl w:val="0"/>
          <w:lang w:val="ru-RU"/>
        </w:rPr>
        <w:t xml:space="preserve">радиусом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𝑅</w:t>
      </w:r>
      <w:r>
        <w:rPr>
          <w:rtl w:val="0"/>
        </w:rPr>
        <w:t>c</w:t>
      </w:r>
      <w:r>
        <w:rPr>
          <w:rtl w:val="0"/>
        </w:rPr>
        <w:t xml:space="preserve"> к его стенке равна</w:t>
      </w:r>
      <w:r>
        <w:rPr>
          <w:rtl w:val="0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Q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ϰ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</m:t>
              </m:r>
            </m:num>
            <m:den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ln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  <m:type m:val="bar"/>
                    </m:fPr>
                    <m:nu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)</m:t>
          </m:r>
        </m:oMath>
      </m:oMathPara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ϰ</m:t>
        </m:r>
      </m:oMath>
      <w:r>
        <w:rPr>
          <w:rtl w:val="0"/>
        </w:rPr>
        <w:t xml:space="preserve"> – </w:t>
      </w:r>
      <w:r>
        <w:rPr>
          <w:rtl w:val="0"/>
          <w:lang w:val="ru-RU"/>
        </w:rPr>
        <w:t>теплопроводность</w:t>
      </w:r>
      <w:r>
        <w:rPr>
          <w:rtl w:val="0"/>
          <w:lang w:val="ru-RU"/>
        </w:rPr>
        <w:t xml:space="preserve">, </w:t>
      </w:r>
      <w:r>
        <w:rPr>
          <w:rStyle w:val="Нет"/>
          <w:i w:val="1"/>
          <w:iCs w:val="1"/>
          <w:rtl w:val="0"/>
          <w:lang w:val="en-US"/>
        </w:rPr>
        <w:t>L</w:t>
      </w:r>
      <w:r>
        <w:rPr>
          <w:rtl w:val="0"/>
        </w:rPr>
        <w:t xml:space="preserve"> – </w:t>
      </w:r>
      <w:r>
        <w:rPr>
          <w:rtl w:val="0"/>
          <w:lang w:val="ru-RU"/>
        </w:rPr>
        <w:t>длина нити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</m:oMath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</w:rPr>
        <w:t xml:space="preserve"> – </w:t>
      </w:r>
      <w:r>
        <w:rPr>
          <w:rtl w:val="0"/>
          <w:lang w:val="ru-RU"/>
        </w:rPr>
        <w:t>температура проволочки и стенки</w:t>
      </w:r>
    </w:p>
    <w:p>
      <w:pPr>
        <w:pStyle w:val="Текстовый блок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bidi w:val="0"/>
      </w:pPr>
      <w:r>
        <w:rPr>
          <w:rtl w:val="0"/>
          <w:lang w:val="ru-RU"/>
        </w:rPr>
        <w:t>Для измерения разности концентраций газов используется мостовая схем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  <w:lang w:val="ru-RU"/>
        </w:rPr>
        <w:t>В процессе диффузии разность концентраций убывает по за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2692147</wp:posOffset>
            </wp:positionH>
            <wp:positionV relativeFrom="page">
              <wp:posOffset>1028552</wp:posOffset>
            </wp:positionV>
            <wp:extent cx="2175762" cy="23876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62" cy="238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1158330</wp:posOffset>
                </wp:positionH>
                <wp:positionV relativeFrom="page">
                  <wp:posOffset>5074220</wp:posOffset>
                </wp:positionV>
                <wp:extent cx="5247840" cy="1269938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40" cy="12699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257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128"/>
                              <w:gridCol w:w="4129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1" w:hRule="atLeast"/>
                                <w:tblHeader/>
                              </w:trPr>
                              <w:tc>
                                <w:tcPr>
                                  <w:tcW w:type="dxa" w:w="41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Величина</w:t>
                                  </w:r>
                                </w:p>
                              </w:tc>
                              <w:tc>
                                <w:tcPr>
                                  <w:tcW w:type="dxa" w:w="41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412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type="dxa" w:w="412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98,5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кПа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type="dxa" w:w="41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type="dxa" w:w="41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(800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5)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см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^3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type="dxa" w:w="41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type="dxa" w:w="41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B3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(800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5)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см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^3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7" w:hRule="atLeast"/>
                              </w:trPr>
                              <w:tc>
                                <w:tcPr>
                                  <w:tcW w:type="dxa" w:w="41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L/S</w:t>
                                  </w:r>
                                </w:p>
                              </w:tc>
                              <w:tc>
                                <w:tcPr>
                                  <w:tcW w:type="dxa" w:w="41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(11,0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1)1/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см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1.2pt;margin-top:399.5pt;width:413.2pt;height:10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257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128"/>
                        <w:gridCol w:w="4129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41" w:hRule="atLeast"/>
                          <w:tblHeader/>
                        </w:trPr>
                        <w:tc>
                          <w:tcPr>
                            <w:tcW w:type="dxa" w:w="41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Величина</w:t>
                            </w:r>
                          </w:p>
                        </w:tc>
                        <w:tc>
                          <w:tcPr>
                            <w:tcW w:type="dxa" w:w="41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Значение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412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type="dxa" w:w="412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98,5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кПа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7" w:hRule="atLeast"/>
                        </w:trPr>
                        <w:tc>
                          <w:tcPr>
                            <w:tcW w:type="dxa" w:w="41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type="dxa" w:w="41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(800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5)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см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^3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7" w:hRule="atLeast"/>
                        </w:trPr>
                        <w:tc>
                          <w:tcPr>
                            <w:tcW w:type="dxa" w:w="41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V1</w:t>
                            </w:r>
                          </w:p>
                        </w:tc>
                        <w:tc>
                          <w:tcPr>
                            <w:tcW w:type="dxa" w:w="41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B3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(800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5)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см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^3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7" w:hRule="atLeast"/>
                        </w:trPr>
                        <w:tc>
                          <w:tcPr>
                            <w:tcW w:type="dxa" w:w="41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L/S</w:t>
                            </w:r>
                          </w:p>
                        </w:tc>
                        <w:tc>
                          <w:tcPr>
                            <w:tcW w:type="dxa" w:w="41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(11,0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±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1)1/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см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>кону</w:t>
      </w: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sup>
        </m:sSup>
      </m:oMath>
      <w:r>
        <w:rPr>
          <w:rtl w:val="0"/>
        </w:rPr>
        <w:t xml:space="preserve">. </w:t>
      </w:r>
      <w:r>
        <w:rPr>
          <w:rtl w:val="0"/>
          <w:lang w:val="ru-RU"/>
        </w:rPr>
        <w:t xml:space="preserve">По тому же закону изменяются во времени показания гальванометра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в делениях шкалы</w:t>
      </w:r>
      <w:r>
        <w:rPr>
          <w:rtl w:val="0"/>
        </w:rPr>
        <w:t xml:space="preserve">), </w:t>
      </w:r>
      <w:r>
        <w:rPr>
          <w:rtl w:val="0"/>
        </w:rPr>
        <w:t>т</w:t>
      </w:r>
      <w:r>
        <w:rPr>
          <w:rtl w:val="0"/>
        </w:rPr>
        <w:t xml:space="preserve">. </w:t>
      </w:r>
      <w:r>
        <w:rPr>
          <w:rtl w:val="0"/>
        </w:rPr>
        <w:t>е</w:t>
      </w:r>
      <w:r>
        <w:rPr>
          <w:rtl w:val="0"/>
        </w:rPr>
        <w:t>.</w:t>
      </w:r>
    </w:p>
    <w:p>
      <w:pPr>
        <w:pStyle w:val="Текстовый блок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0</m:t>
              </m:r>
            </m:sub>
          </m:sSub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e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t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τ</m:t>
              </m:r>
            </m:sup>
          </m:sSup>
        </m:oMath>
      </m:oMathPara>
    </w:p>
    <w:p>
      <w:pPr>
        <w:pStyle w:val="Заголовок"/>
        <w:bidi w:val="0"/>
      </w:pPr>
      <w:r>
        <w:rPr>
          <w:rtl w:val="0"/>
          <w:lang w:val="ru-RU"/>
        </w:rPr>
        <w:t>Параметры установки</w:t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2994749</wp:posOffset>
            </wp:positionH>
            <wp:positionV relativeFrom="line">
              <wp:posOffset>209893</wp:posOffset>
            </wp:positionV>
            <wp:extent cx="114300" cy="165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thTypeEquation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bidi w:val="0"/>
      </w:pPr>
    </w:p>
    <w:p>
      <w:pPr>
        <w:pStyle w:val="Заголовок"/>
        <w:bidi w:val="0"/>
      </w:pPr>
      <w:r>
        <w:rPr>
          <w:rtl w:val="0"/>
          <w:lang w:val="ru-RU"/>
        </w:rPr>
        <w:t>Результаты измерений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После проведения всех подготовительных 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1834770</wp:posOffset>
                </wp:positionV>
                <wp:extent cx="3018246" cy="6466734"/>
                <wp:effectExtent l="0" t="0" r="0" b="0"/>
                <wp:wrapThrough wrapText="bothSides" distL="152400" distR="152400">
                  <wp:wrapPolygon edited="1">
                    <wp:start x="-182" y="-85"/>
                    <wp:lineTo x="21722" y="-85"/>
                    <wp:lineTo x="21722" y="21677"/>
                    <wp:lineTo x="-182" y="21677"/>
                    <wp:lineTo x="-182" y="-85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246" cy="6466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4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582"/>
                              <w:gridCol w:w="1582"/>
                              <w:gridCol w:w="158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746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Протокол измерений. Давление 60 торр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28" w:hRule="atLeast"/>
                                <w:tblHeader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Время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Значение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Логарифм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255.0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20.67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247.2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41.35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240.0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62.02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232.7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0.092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82.70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225.9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103.37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217.0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124.04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210.3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0.193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144.72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205.0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165.39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198.7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0.249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186.07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193.0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0.279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206.74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187.0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0.310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227.41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181.4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0.341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248.09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176.0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268.76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171.0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289.43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166.0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310.11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160.0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330.78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155.5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0.495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351.46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151.0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372.13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146.9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0.551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392.80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143.0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413.48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138.3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434.15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135.0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454.83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130.8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0.668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475.50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127.0</w:t>
                                  </w:r>
                                </w:p>
                              </w:tc>
                              <w:tc>
                                <w:tcPr>
                                  <w:tcW w:type="dxa" w:w="15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0.697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144.5pt;width:237.7pt;height:509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4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582"/>
                        <w:gridCol w:w="1582"/>
                        <w:gridCol w:w="158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746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Протокол измерений. Давление 60 торр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28" w:hRule="atLeast"/>
                          <w:tblHeader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Время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Значение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Логарифм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8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255.0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20.67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247.2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0.031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41.35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240.0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62.02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232.7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0.092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82.70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225.9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0.121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103.37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217.0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124.04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210.3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0.193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144.72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205.0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165.39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198.7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0.249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186.07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193.0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0.279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206.74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187.0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0.310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227.41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181.4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0.341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248.09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176.0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0.371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268.76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171.0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289.43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166.0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310.11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160.0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0.466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330.78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155.5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0.495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351.46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151.0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372.13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146.9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0.551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392.80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143.0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413.48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138.3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434.15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135.0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454.83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130.8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0.668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475.50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127.0</w:t>
                            </w:r>
                          </w:p>
                        </w:tc>
                        <w:tc>
                          <w:tcPr>
                            <w:tcW w:type="dxa" w:w="15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0.697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3780028</wp:posOffset>
                </wp:positionH>
                <wp:positionV relativeFrom="page">
                  <wp:posOffset>1832547</wp:posOffset>
                </wp:positionV>
                <wp:extent cx="3064474" cy="6471178"/>
                <wp:effectExtent l="0" t="0" r="0" b="0"/>
                <wp:wrapThrough wrapText="bothSides" distL="152400" distR="152400">
                  <wp:wrapPolygon edited="1">
                    <wp:start x="-179" y="-85"/>
                    <wp:lineTo x="21752" y="-85"/>
                    <wp:lineTo x="21752" y="21662"/>
                    <wp:lineTo x="-179" y="21662"/>
                    <wp:lineTo x="-179" y="-85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474" cy="64711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81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606"/>
                              <w:gridCol w:w="1606"/>
                              <w:gridCol w:w="160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818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Протокол измерений. Давление 80 торр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28" w:hRule="atLeast"/>
                                <w:tblHeader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Время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Значение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Логарифм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255.0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27.33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247.8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54.65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240.0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81.98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233.0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109.30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226.0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136.63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217.9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163.96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211.7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0.186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191.28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205.0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218.61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199.0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0.248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245.93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193.0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273.26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187.0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0.306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300.59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181.0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0.343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327.91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175.4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0.374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355.24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170.2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0.404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382.57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166.0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0.430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409.89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160.7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437.22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156.0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464.54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152.0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491.87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147.1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0.550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519.20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143.0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546.52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139.0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0.607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573.85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135.0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601.17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131.0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628.50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128.0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0.689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97.6pt;margin-top:144.3pt;width:241.3pt;height:509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81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606"/>
                        <w:gridCol w:w="1606"/>
                        <w:gridCol w:w="160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818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Протокол измерений. Давление 80 торр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28" w:hRule="atLeast"/>
                          <w:tblHeader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Время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Значение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Логарифм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8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255.0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27.33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247.8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54.65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240.0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81.98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233.0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109.30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226.0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0.121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136.63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217.9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0.157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163.96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211.7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0.186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191.28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205.0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218.61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199.0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0.248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245.93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193.0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273.26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187.0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0.306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300.59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181.0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0.343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327.91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175.4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0.374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355.24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170.2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0.404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382.57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166.0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0.430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409.89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160.7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437.22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156.0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0.491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464.54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152.0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0.517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491.87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147.1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0.550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519.20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143.0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546.52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139.0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0.607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573.85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135.0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601.17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131.0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0.666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628.50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128.0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0.689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>работ и проведения измерений получили следующие результаты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Построили графики зависимости </w:t>
      </w:r>
      <w:r>
        <w:rPr>
          <w:rtl w:val="0"/>
        </w:rPr>
        <w:t xml:space="preserve">U(t) </w:t>
      </w:r>
      <w:r>
        <w:rPr>
          <w:rtl w:val="0"/>
          <w:lang w:val="ru-RU"/>
        </w:rPr>
        <w:t>в ло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3030449" cy="6410124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49" cy="64101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6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588"/>
                              <w:gridCol w:w="1588"/>
                              <w:gridCol w:w="158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765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Протокол измерений. Давление 120 торр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24" w:hRule="atLeast"/>
                                <w:tblHeader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Время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Значение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Логарифм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255.0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36.00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248.0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0.028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72.00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240.0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108.00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233.0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144.00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226.0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180.00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219.0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0.152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216.00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213.0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0.180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252.00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207.0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0.209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288.00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201.0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324.00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195.0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0.268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360.00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190.0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396.00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184.0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0.326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432.00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179.0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0.354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468.00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174.0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0.382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504.00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169.0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540.00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164.0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0.441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576.00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160.0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612.00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156.0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0.491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648.00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151.0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684.00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147.0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0.551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720.00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143.0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756.00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139.0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0.607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792.00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135.0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828.00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132.0</w:t>
                                  </w:r>
                                </w:p>
                              </w:tc>
                              <w:tc>
                                <w:tcPr>
                                  <w:tcW w:type="dxa" w:w="158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0.658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7pt;margin-top:56.7pt;width:238.6pt;height:504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6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588"/>
                        <w:gridCol w:w="1588"/>
                        <w:gridCol w:w="158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765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Протокол измерений. Давление 120 торр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24" w:hRule="atLeast"/>
                          <w:tblHeader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Время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Значение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Логарифм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255.0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36.00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248.0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0.028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72.00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240.0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108.00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233.0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144.00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226.0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0.121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180.00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219.0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0.152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216.00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213.0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0.180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252.00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207.0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0.209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288.00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201.0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324.00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195.0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0.268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360.00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190.0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0.294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396.00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184.0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0.326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432.00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179.0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0.354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468.00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174.0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0.382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504.00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169.0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540.00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164.0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0.441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576.00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160.0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0.466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612.00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156.0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0.491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648.00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151.0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684.00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147.0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0.551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720.00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143.0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756.00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139.0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0.607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792.00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135.0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828.00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132.0</w:t>
                            </w:r>
                          </w:p>
                        </w:tc>
                        <w:tc>
                          <w:tcPr>
                            <w:tcW w:type="dxa" w:w="158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0.658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3780028</wp:posOffset>
                </wp:positionH>
                <wp:positionV relativeFrom="page">
                  <wp:posOffset>720000</wp:posOffset>
                </wp:positionV>
                <wp:extent cx="3064474" cy="6410124"/>
                <wp:effectExtent l="0" t="0" r="0" b="0"/>
                <wp:wrapThrough wrapText="bothSides" distL="152400" distR="152400">
                  <wp:wrapPolygon edited="1">
                    <wp:start x="-179" y="-86"/>
                    <wp:lineTo x="21752" y="-86"/>
                    <wp:lineTo x="21752" y="21697"/>
                    <wp:lineTo x="-179" y="21697"/>
                    <wp:lineTo x="-179" y="-86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474" cy="64101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81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606"/>
                              <w:gridCol w:w="1606"/>
                              <w:gridCol w:w="160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818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Протокол измерений. Давление 160 торр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24" w:hRule="atLeast"/>
                                <w:tblHeader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Время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Значение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Логарифм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255.0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48.39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246.0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96.78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239.0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145.17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231.0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0.099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193.57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223.0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0.134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241.96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216.7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0.163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290.35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210.0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0.194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338.74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204.0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387.13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198.0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0.253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435.52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192.0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0.284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483.91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187.0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0.310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532.30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182.0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0.337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580.70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176.9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629.09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171.6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0.396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677.48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167.0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725.87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162.0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0.454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774.26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157.0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0.485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822.65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153.0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871.04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148.3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0.542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919.43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144.0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0.571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967.83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140.0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1016.22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136.0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1064.61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133.0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0.651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atLeast"/>
                              </w:trPr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1113.00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129.0</w:t>
                                  </w:r>
                                </w:p>
                              </w:tc>
                              <w:tc>
                                <w:tcPr>
                                  <w:tcW w:type="dxa" w:w="16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0.681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97.6pt;margin-top:56.7pt;width:241.3pt;height:504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81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606"/>
                        <w:gridCol w:w="1606"/>
                        <w:gridCol w:w="160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818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Протокол измерений. Давление 160 торр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24" w:hRule="atLeast"/>
                          <w:tblHeader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Время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Значение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Логарифм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255.0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48.39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246.0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96.78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239.0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0.065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145.17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231.0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0.099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193.57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223.0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0.134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241.96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216.7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0.163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290.35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210.0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0.194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338.74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204.0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387.13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198.0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0.253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435.52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192.0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0.284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483.91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187.0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0.310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532.30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182.0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0.337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580.70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176.9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0.366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629.09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171.6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0.396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677.48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167.0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725.87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162.0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0.454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774.26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157.0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0.485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822.65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153.0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871.04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148.3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0.542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919.43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144.0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0.571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967.83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140.0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1016.22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136.0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1064.61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133.0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0.651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atLeast"/>
                        </w:trPr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1113.00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129.0</w:t>
                            </w:r>
                          </w:p>
                        </w:tc>
                        <w:tc>
                          <w:tcPr>
                            <w:tcW w:type="dxa" w:w="16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0.681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>гарифмическом масштабе по оси ординат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  <w:lang w:val="ru-RU"/>
        </w:rPr>
        <w:t xml:space="preserve">Угловые коэффициенты по графикам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погрешности по столбцу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ln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U</m:t>
                </m:r>
              </m:num>
              <m:den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rtl w:val="0"/>
          <w:lang w:val="ru-RU"/>
        </w:rPr>
        <w:t xml:space="preserve"> </w:t>
      </w:r>
      <w:r>
        <w:rPr>
          <w:rtl w:val="0"/>
        </w:rPr>
        <w:t>):</w:t>
      </w:r>
    </w:p>
    <w:p>
      <w:pPr>
        <w:pStyle w:val="Текстовый блок"/>
        <w:jc w:val="left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60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ru-RU"/>
        </w:rPr>
        <w:t>торр</w:t>
      </w:r>
      <w:r>
        <w:rPr>
          <w:i w:val="1"/>
          <w:iCs w:val="1"/>
          <w:rtl w:val="0"/>
          <w:lang w:val="ru-RU"/>
        </w:rPr>
        <w:t>: -</w:t>
      </w:r>
      <w:r>
        <w:rPr>
          <w:i w:val="1"/>
          <w:iCs w:val="1"/>
          <w:rtl w:val="0"/>
          <w:lang w:val="en-US"/>
        </w:rPr>
        <w:t>0,0015</w:t>
      </w:r>
      <w:r>
        <w:rPr>
          <w:i w:val="1"/>
          <w:iCs w:val="1"/>
          <w:rtl w:val="0"/>
          <w:lang w:val="en-US"/>
        </w:rPr>
        <w:t>±</w:t>
      </w:r>
      <w:r>
        <w:rPr>
          <w:i w:val="1"/>
          <w:iCs w:val="1"/>
          <w:rtl w:val="0"/>
          <w:lang w:val="en-US"/>
        </w:rPr>
        <w:t xml:space="preserve"> 0,00043</w:t>
      </w:r>
    </w:p>
    <w:p>
      <w:pPr>
        <w:pStyle w:val="Текстовый блок"/>
        <w:jc w:val="lef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80 </w:t>
      </w:r>
      <w:r>
        <w:rPr>
          <w:i w:val="1"/>
          <w:iCs w:val="1"/>
          <w:rtl w:val="0"/>
          <w:lang w:val="ru-RU"/>
        </w:rPr>
        <w:t>торр</w:t>
      </w:r>
      <w:r>
        <w:rPr>
          <w:i w:val="1"/>
          <w:iCs w:val="1"/>
          <w:rtl w:val="0"/>
          <w:lang w:val="ru-RU"/>
        </w:rPr>
        <w:t>: -</w:t>
      </w:r>
      <w:r>
        <w:rPr>
          <w:i w:val="1"/>
          <w:iCs w:val="1"/>
          <w:rtl w:val="0"/>
          <w:lang w:val="en-US"/>
        </w:rPr>
        <w:t>0,0011</w:t>
      </w:r>
      <w:r>
        <w:rPr>
          <w:i w:val="1"/>
          <w:iCs w:val="1"/>
          <w:rtl w:val="0"/>
          <w:lang w:val="en-US"/>
        </w:rPr>
        <w:t>±</w:t>
      </w:r>
      <w:r>
        <w:rPr>
          <w:i w:val="1"/>
          <w:iCs w:val="1"/>
          <w:rtl w:val="0"/>
          <w:lang w:val="en-US"/>
        </w:rPr>
        <w:t xml:space="preserve"> 0,00032</w:t>
      </w:r>
    </w:p>
    <w:p>
      <w:pPr>
        <w:pStyle w:val="Текстовый блок"/>
        <w:jc w:val="left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120 </w:t>
      </w:r>
      <w:r>
        <w:rPr>
          <w:i w:val="1"/>
          <w:iCs w:val="1"/>
          <w:rtl w:val="0"/>
          <w:lang w:val="ru-RU"/>
        </w:rPr>
        <w:t>торр</w:t>
      </w:r>
      <w:r>
        <w:rPr>
          <w:i w:val="1"/>
          <w:iCs w:val="1"/>
          <w:rtl w:val="0"/>
          <w:lang w:val="ru-RU"/>
        </w:rPr>
        <w:t>: -</w:t>
      </w:r>
      <w:r>
        <w:rPr>
          <w:i w:val="1"/>
          <w:iCs w:val="1"/>
          <w:rtl w:val="0"/>
          <w:lang w:val="en-US"/>
        </w:rPr>
        <w:t>0,0008</w:t>
      </w:r>
      <w:r>
        <w:rPr>
          <w:i w:val="1"/>
          <w:iCs w:val="1"/>
          <w:rtl w:val="0"/>
          <w:lang w:val="en-US"/>
        </w:rPr>
        <w:t>±</w:t>
      </w:r>
      <w:r>
        <w:rPr>
          <w:i w:val="1"/>
          <w:iCs w:val="1"/>
          <w:rtl w:val="0"/>
          <w:lang w:val="en-US"/>
        </w:rPr>
        <w:t>0,000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462397</wp:posOffset>
            </wp:positionH>
            <wp:positionV relativeFrom="page">
              <wp:posOffset>731869</wp:posOffset>
            </wp:positionV>
            <wp:extent cx="6398100" cy="4626001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462397</wp:posOffset>
            </wp:positionH>
            <wp:positionV relativeFrom="page">
              <wp:posOffset>5414920</wp:posOffset>
            </wp:positionV>
            <wp:extent cx="6398100" cy="475297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anchor>
        </w:drawing>
      </w:r>
      <w:r>
        <w:rPr>
          <w:i w:val="1"/>
          <w:iCs w:val="1"/>
          <w:rtl w:val="0"/>
          <w:lang w:val="en-US"/>
        </w:rPr>
        <w:t>23</w:t>
      </w:r>
    </w:p>
    <w:p>
      <w:pPr>
        <w:pStyle w:val="Текстовый блок"/>
        <w:jc w:val="left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160 </w:t>
      </w:r>
      <w:r>
        <w:rPr>
          <w:i w:val="1"/>
          <w:iCs w:val="1"/>
          <w:rtl w:val="0"/>
          <w:lang w:val="ru-RU"/>
        </w:rPr>
        <w:t>торр</w:t>
      </w:r>
      <w:r>
        <w:rPr>
          <w:i w:val="1"/>
          <w:iCs w:val="1"/>
          <w:rtl w:val="0"/>
          <w:lang w:val="ru-RU"/>
        </w:rPr>
        <w:t>: -</w:t>
      </w:r>
      <w:r>
        <w:rPr>
          <w:i w:val="1"/>
          <w:iCs w:val="1"/>
          <w:rtl w:val="0"/>
        </w:rPr>
        <w:t xml:space="preserve">0,0006 </w:t>
      </w:r>
      <w:r>
        <w:rPr>
          <w:i w:val="1"/>
          <w:iCs w:val="1"/>
          <w:rtl w:val="0"/>
          <w:lang w:val="en-US"/>
        </w:rPr>
        <w:t>±</w:t>
      </w:r>
      <w:r>
        <w:rPr>
          <w:i w:val="1"/>
          <w:iCs w:val="1"/>
          <w:rtl w:val="0"/>
          <w:lang w:val="en-US"/>
        </w:rPr>
        <w:t xml:space="preserve"> 0,0002</w:t>
      </w:r>
    </w:p>
    <w:p>
      <w:pPr>
        <w:pStyle w:val="Текстовый блок"/>
        <w:rPr>
          <w:i w:val="1"/>
          <w:iCs w:val="1"/>
        </w:rPr>
      </w:pPr>
    </w:p>
    <w:p>
      <w:pPr>
        <w:pStyle w:val="Текстовый блок"/>
        <w:bidi w:val="0"/>
      </w:pPr>
      <w:r>
        <w:rPr>
          <w:rtl w:val="0"/>
          <w:lang w:val="ru-RU"/>
        </w:rPr>
        <w:t>Рассчитаем коэффициент взаимной диффузии по угловым коэффициентам и известным параметрам установки</w:t>
      </w:r>
      <w:r>
        <w:rPr>
          <w:rtl w:val="0"/>
          <w:lang w:val="ru-RU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τ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den>
        </m:f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U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sup>
        </m:sSup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ln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U</m:t>
                </m:r>
              </m:num>
              <m:den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</m:den>
            </m:f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τ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ln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U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/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U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U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</m:t>
                </m:r>
              </m:sub>
            </m:sSub>
          </m:den>
        </m:f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num>
          <m:den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num>
              <m:den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ln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U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den>
            </m:f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ln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U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den>
                </m:f>
              </m:e>
            </m: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den>
        </m:f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Линия аппроксимации стремится к </w:t>
      </w:r>
      <w:r>
        <w:rPr>
          <w:rtl w:val="0"/>
          <w:lang w:val="ru-RU"/>
        </w:rPr>
        <w:t>0.</w:t>
      </w:r>
      <w:r>
        <w:rPr>
          <w:rtl w:val="0"/>
        </w:rPr>
        <w:t xml:space="preserve"> </w:t>
      </w:r>
      <w:r>
        <w:rPr>
          <w:rtl w:val="0"/>
          <w:lang w:val="ru-RU"/>
        </w:rPr>
        <w:t>Отсюда найдем коэффициент диффузии для атмосферного давления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  <w:lang w:val="ru-RU"/>
        </w:rPr>
        <w:t>Получили резул</w: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1756861</wp:posOffset>
                </wp:positionH>
                <wp:positionV relativeFrom="page">
                  <wp:posOffset>720000</wp:posOffset>
                </wp:positionV>
                <wp:extent cx="4050780" cy="1738204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780" cy="1738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372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124"/>
                              <w:gridCol w:w="2404"/>
                              <w:gridCol w:w="184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6372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Коэффициент диффузии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534" w:hRule="atLeast"/>
                                <w:tblHeader/>
                              </w:trPr>
                              <w:tc>
                                <w:tcPr>
                                  <w:tcW w:type="dxa" w:w="21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 xml:space="preserve">Давление 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торр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240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  <w:lang w:val="ru-RU"/>
                                    </w:rPr>
                                    <w:t>Коэф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  <w:lang w:val="ru-RU"/>
                                    </w:rPr>
                                    <w:t>диффузии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380490" cy="312547"/>
                                        <wp:effectExtent l="0" t="0" r="0" b="0"/>
                                        <wp:docPr id="1073741837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7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0490" cy="3125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8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Погрешность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type="dxa" w:w="212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2404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6.6</w:t>
                                  </w:r>
                                </w:p>
                              </w:tc>
                              <w:tc>
                                <w:tcPr>
                                  <w:tcW w:type="dxa" w:w="18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0.082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type="dxa" w:w="21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24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4.84</w:t>
                                  </w:r>
                                </w:p>
                              </w:tc>
                              <w:tc>
                                <w:tcPr>
                                  <w:tcW w:type="dxa" w:w="18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type="dxa" w:w="21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type="dxa" w:w="24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3.52</w:t>
                                  </w:r>
                                </w:p>
                              </w:tc>
                              <w:tc>
                                <w:tcPr>
                                  <w:tcW w:type="dxa" w:w="18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0.083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type="dxa" w:w="212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type="dxa" w:w="240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2.64</w:t>
                                  </w:r>
                                </w:p>
                              </w:tc>
                              <w:tc>
                                <w:tcPr>
                                  <w:tcW w:type="dxa" w:w="18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0.084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38.3pt;margin-top:56.7pt;width:319.0pt;height:136.9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6372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124"/>
                        <w:gridCol w:w="2404"/>
                        <w:gridCol w:w="184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6372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Коэффициент диффузии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534" w:hRule="atLeast"/>
                          <w:tblHeader/>
                        </w:trPr>
                        <w:tc>
                          <w:tcPr>
                            <w:tcW w:type="dxa" w:w="21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 xml:space="preserve">Давление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торр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240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ru-RU"/>
                              </w:rPr>
                              <w:t>Коэф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ru-RU"/>
                              </w:rPr>
                              <w:t>диффузии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380490" cy="312547"/>
                                  <wp:effectExtent l="0" t="0" r="0" b="0"/>
                                  <wp:docPr id="107374183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490" cy="3125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8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Погрешность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2" w:hRule="atLeast"/>
                        </w:trPr>
                        <w:tc>
                          <w:tcPr>
                            <w:tcW w:type="dxa" w:w="212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2404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6.6</w:t>
                            </w:r>
                          </w:p>
                        </w:tc>
                        <w:tc>
                          <w:tcPr>
                            <w:tcW w:type="dxa" w:w="18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0.082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8" w:hRule="atLeast"/>
                        </w:trPr>
                        <w:tc>
                          <w:tcPr>
                            <w:tcW w:type="dxa" w:w="21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24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4.84</w:t>
                            </w:r>
                          </w:p>
                        </w:tc>
                        <w:tc>
                          <w:tcPr>
                            <w:tcW w:type="dxa" w:w="18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8" w:hRule="atLeast"/>
                        </w:trPr>
                        <w:tc>
                          <w:tcPr>
                            <w:tcW w:type="dxa" w:w="21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type="dxa" w:w="24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3.52</w:t>
                            </w:r>
                          </w:p>
                        </w:tc>
                        <w:tc>
                          <w:tcPr>
                            <w:tcW w:type="dxa" w:w="18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0.083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8" w:hRule="atLeast"/>
                        </w:trPr>
                        <w:tc>
                          <w:tcPr>
                            <w:tcW w:type="dxa" w:w="212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type="dxa" w:w="240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2.64</w:t>
                            </w:r>
                          </w:p>
                        </w:tc>
                        <w:tc>
                          <w:tcPr>
                            <w:tcW w:type="dxa" w:w="18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0.084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1251700</wp:posOffset>
            </wp:positionH>
            <wp:positionV relativeFrom="page">
              <wp:posOffset>2645059</wp:posOffset>
            </wp:positionV>
            <wp:extent cx="5112801" cy="3398363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1398011</wp:posOffset>
                </wp:positionH>
                <wp:positionV relativeFrom="page">
                  <wp:posOffset>7047069</wp:posOffset>
                </wp:positionV>
                <wp:extent cx="4771972" cy="2104390"/>
                <wp:effectExtent l="0" t="0" r="0" b="0"/>
                <wp:wrapTopAndBottom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1972" cy="2104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02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291"/>
                              <w:gridCol w:w="1389"/>
                              <w:gridCol w:w="182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6" w:hRule="atLeast"/>
                                <w:tblHeader/>
                              </w:trPr>
                              <w:tc>
                                <w:tcPr>
                                  <w:tcW w:type="dxa" w:w="7502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Заголовок таблицы 1"/>
                                  </w:pPr>
                                  <w:r>
                                    <w:t>Ориентировочные значения коэффициентов взаимной диффузии для некоторых газов при 273К и 760 Торр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6" w:hRule="atLeast"/>
                              </w:trPr>
                              <w:tc>
                                <w:tcPr>
                                  <w:tcW w:type="dxa" w:w="4291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rtl w:val="0"/>
                                    </w:rPr>
                                    <w:t>Диффундирующий газ</w:t>
                                  </w:r>
                                </w:p>
                              </w:tc>
                              <w:tc>
                                <w:tcPr>
                                  <w:tcW w:type="dxa" w:w="3211"/>
                                  <w:gridSpan w:val="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94954" cy="115901"/>
                                        <wp:effectExtent l="0" t="0" r="0" b="0"/>
                                        <wp:docPr id="107374184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4954" cy="1159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ru-RU"/>
                                    </w:rPr>
                                    <w:t>см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220531" cy="93335"/>
                                        <wp:effectExtent l="0" t="0" r="0" b="0"/>
                                        <wp:docPr id="107374184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0531" cy="93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0" w:hRule="atLeast"/>
                              </w:trPr>
                              <w:tc>
                                <w:tcPr>
                                  <w:tcW w:type="dxa" w:w="4291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38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ru-RU"/>
                                    </w:rPr>
                                    <w:t>в воздухе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138623" cy="110895"/>
                                        <wp:effectExtent l="0" t="0" r="0" b="0"/>
                                        <wp:docPr id="107374184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8623" cy="110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ru-RU"/>
                                    </w:rPr>
                                    <w:t xml:space="preserve">или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141650" cy="108414"/>
                                        <wp:effectExtent l="0" t="0" r="0" b="0"/>
                                        <wp:docPr id="107374184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1650" cy="1084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ru-RU"/>
                                    </w:rPr>
                                    <w:t xml:space="preserve">в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198265" cy="108786"/>
                                        <wp:effectExtent l="0" t="0" r="0" b="0"/>
                                        <wp:docPr id="107374184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8265" cy="1087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429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37805" cy="107152"/>
                                        <wp:effectExtent l="0" t="0" r="0" b="0"/>
                                        <wp:docPr id="107374184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7805" cy="1071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38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1.27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4291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98265" cy="108786"/>
                                        <wp:effectExtent l="0" t="0" r="0" b="0"/>
                                        <wp:docPr id="1073741846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6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8265" cy="1087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389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1.25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4291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ru-RU"/>
                                    </w:rPr>
                                    <w:t>Воздух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138623" cy="110895"/>
                                        <wp:effectExtent l="0" t="0" r="0" b="0"/>
                                        <wp:docPr id="1073741847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7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8623" cy="110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141650" cy="108414"/>
                                        <wp:effectExtent l="0" t="0" r="0" b="0"/>
                                        <wp:docPr id="1073741848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8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1650" cy="1084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389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4291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66936" cy="87933"/>
                                        <wp:effectExtent l="0" t="0" r="0" b="0"/>
                                        <wp:docPr id="1073741849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9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6936" cy="879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389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0.175</w:t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4291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223207" cy="110895"/>
                                        <wp:effectExtent l="0" t="0" r="0" b="0"/>
                                        <wp:docPr id="107374185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3207" cy="110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389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type="dxa" w:w="1821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0.54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10.1pt;margin-top:554.9pt;width:375.7pt;height:165.7pt;z-index: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502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291"/>
                        <w:gridCol w:w="1389"/>
                        <w:gridCol w:w="182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96" w:hRule="atLeast"/>
                          <w:tblHeader/>
                        </w:trPr>
                        <w:tc>
                          <w:tcPr>
                            <w:tcW w:type="dxa" w:w="7502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Заголовок таблицы 1"/>
                            </w:pPr>
                            <w:r>
                              <w:t>Ориентировочные значения коэффициентов взаимной диффузии для некоторых газов при 273К и 760 Торр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6" w:hRule="atLeast"/>
                        </w:trPr>
                        <w:tc>
                          <w:tcPr>
                            <w:tcW w:type="dxa" w:w="4291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rtl w:val="0"/>
                              </w:rPr>
                              <w:t>Диффундирующий газ</w:t>
                            </w:r>
                          </w:p>
                        </w:tc>
                        <w:tc>
                          <w:tcPr>
                            <w:tcW w:type="dxa" w:w="3211"/>
                            <w:gridSpan w:val="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194954" cy="115901"/>
                                  <wp:effectExtent l="0" t="0" r="0" b="0"/>
                                  <wp:docPr id="107374184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954" cy="115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>см</w:t>
                            </w:r>
                            <w:r>
                              <w:drawing>
                                <wp:inline distT="0" distB="0" distL="0" distR="0">
                                  <wp:extent cx="220531" cy="93335"/>
                                  <wp:effectExtent l="0" t="0" r="0" b="0"/>
                                  <wp:docPr id="107374184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531" cy="9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0" w:hRule="atLeast"/>
                        </w:trPr>
                        <w:tc>
                          <w:tcPr>
                            <w:tcW w:type="dxa" w:w="4291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38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>в воздухе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drawing>
                                <wp:inline distT="0" distB="0" distL="0" distR="0">
                                  <wp:extent cx="138623" cy="110895"/>
                                  <wp:effectExtent l="0" t="0" r="0" b="0"/>
                                  <wp:docPr id="107374184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23" cy="110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 xml:space="preserve">или </w:t>
                            </w:r>
                            <w:r>
                              <w:drawing>
                                <wp:inline distT="0" distB="0" distL="0" distR="0">
                                  <wp:extent cx="141650" cy="108414"/>
                                  <wp:effectExtent l="0" t="0" r="0" b="0"/>
                                  <wp:docPr id="107374184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50" cy="108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 xml:space="preserve">в </w:t>
                            </w:r>
                            <w:r>
                              <w:drawing>
                                <wp:inline distT="0" distB="0" distL="0" distR="0">
                                  <wp:extent cx="198265" cy="108786"/>
                                  <wp:effectExtent l="0" t="0" r="0" b="0"/>
                                  <wp:docPr id="107374184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265" cy="108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429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137805" cy="107152"/>
                                  <wp:effectExtent l="0" t="0" r="0" b="0"/>
                                  <wp:docPr id="107374184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805" cy="107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38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1.27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4291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198265" cy="108786"/>
                                  <wp:effectExtent l="0" t="0" r="0" b="0"/>
                                  <wp:docPr id="107374184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265" cy="108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389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1.25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4291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ru-RU"/>
                              </w:rPr>
                              <w:t>Воздух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drawing>
                                <wp:inline distT="0" distB="0" distL="0" distR="0">
                                  <wp:extent cx="138623" cy="110895"/>
                                  <wp:effectExtent l="0" t="0" r="0" b="0"/>
                                  <wp:docPr id="107374184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23" cy="110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drawing>
                                <wp:inline distT="0" distB="0" distL="0" distR="0">
                                  <wp:extent cx="141650" cy="108414"/>
                                  <wp:effectExtent l="0" t="0" r="0" b="0"/>
                                  <wp:docPr id="107374184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50" cy="108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389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0.66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4291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166936" cy="87933"/>
                                  <wp:effectExtent l="0" t="0" r="0" b="0"/>
                                  <wp:docPr id="107374184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36" cy="87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389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0.175</w:t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0.64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4291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223207" cy="110895"/>
                                  <wp:effectExtent l="0" t="0" r="0" b="0"/>
                                  <wp:docPr id="107374185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207" cy="110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389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type="dxa" w:w="1821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0.54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 xml:space="preserve">ьтат </w:t>
      </w:r>
      <w:r>
        <w:rPr>
          <w:rtl w:val="0"/>
        </w:rPr>
        <w:t>D = (</w:t>
      </w:r>
      <w:r>
        <w:rPr>
          <w:rtl w:val="0"/>
          <w:lang w:val="ru-RU"/>
        </w:rPr>
        <w:t>0,5</w:t>
      </w:r>
      <w:r>
        <w:rPr>
          <w:rtl w:val="0"/>
        </w:rPr>
        <w:t xml:space="preserve">316 </w:t>
      </w:r>
      <w:r>
        <w:rPr>
          <w:rStyle w:val="Нет"/>
          <w:sz w:val="24"/>
          <w:szCs w:val="24"/>
          <w:rtl w:val="0"/>
          <w:lang w:val="en-US"/>
        </w:rPr>
        <w:t xml:space="preserve">± </w:t>
      </w:r>
      <w:r>
        <w:rPr>
          <w:rStyle w:val="Нет"/>
          <w:sz w:val="24"/>
          <w:szCs w:val="24"/>
          <w:rtl w:val="0"/>
          <w:lang w:val="en-US"/>
        </w:rPr>
        <w:t>0,0096</w:t>
      </w:r>
      <w:r>
        <w:rPr>
          <w:rtl w:val="0"/>
        </w:rPr>
        <w:t xml:space="preserve">)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p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см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с</m:t>
            </m:r>
          </m:den>
        </m:f>
      </m:oMath>
    </w:p>
    <w:p>
      <w:pPr>
        <w:pStyle w:val="Текстовый блок"/>
        <w:bidi w:val="0"/>
      </w:pPr>
      <w:r>
        <w:rPr>
          <w:rtl w:val="0"/>
          <w:lang w:val="ru-RU"/>
        </w:rPr>
        <w:t>Сравним полученное значение с табличным</w:t>
      </w:r>
      <w:r>
        <w:rPr>
          <w:rtl w:val="0"/>
          <w:lang w:val="ru-RU"/>
        </w:rPr>
        <w:t>:</w:t>
      </w:r>
    </w:p>
    <w:p>
      <w:pPr>
        <w:pStyle w:val="Текстовый блок"/>
        <w:bidi w:val="0"/>
      </w:pPr>
      <w:r>
        <w:rPr>
          <w:rtl w:val="0"/>
          <w:lang w:val="ru-RU"/>
        </w:rPr>
        <w:t>Полученное значение близко к табличному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Из вычисленного значения коэффициента взаимной диффузии</w:t>
      </w:r>
      <w:r>
        <w:rPr>
          <w:rStyle w:val="Нет"/>
          <w:rFonts w:ascii="Tahoma" w:hAnsi="Tahoma"/>
          <w:rtl w:val="0"/>
          <w:lang w:val="en-US"/>
        </w:rPr>
        <w:t xml:space="preserve"> </w:t>
      </w:r>
      <w:r>
        <w:rPr>
          <w:rStyle w:val="Нет"/>
          <w:i w:val="1"/>
          <w:iCs w:val="1"/>
          <w:rtl w:val="0"/>
        </w:rPr>
        <w:t>D</w:t>
      </w:r>
      <w:r>
        <w:rPr>
          <w:rStyle w:val="Нет"/>
          <w:rFonts w:ascii="Tahoma" w:hAnsi="Tahoma"/>
          <w:rtl w:val="0"/>
          <w:lang w:val="en-US"/>
        </w:rPr>
        <w:t xml:space="preserve"> </w:t>
      </w:r>
      <w:r>
        <w:rPr>
          <w:rtl w:val="0"/>
        </w:rPr>
        <w:t>оценим длину свободного пробега</w:t>
      </w:r>
      <w:r>
        <w:rPr>
          <w:rtl w:val="0"/>
          <w:lang w:val="ru-RU"/>
        </w:rPr>
        <w:t xml:space="preserve"> а</w:t>
      </w:r>
      <w:r>
        <w:rPr>
          <w:rtl w:val="0"/>
          <w:lang w:val="ru-RU"/>
        </w:rPr>
        <w:t>томов гелия в воздухе</w:t>
      </w:r>
    </w:p>
    <w:p>
      <w:pPr>
        <w:pStyle w:val="Текстовый блок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λ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гелий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degHide m:val="on"/>
          </m:radPr>
          <m:deg/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π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μ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8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den>
            </m:f>
          </m:e>
        </m:rad>
      </m:oMath>
      <w:r>
        <w:rPr>
          <w:rtl w:val="0"/>
        </w:rPr>
        <w:t>=</w:t>
      </w:r>
      <w:r>
        <w:rPr>
          <w:rtl w:val="0"/>
          <w:lang w:val="ru-RU"/>
        </w:rPr>
        <w:t>1</w:t>
      </w:r>
      <w:r>
        <w:rPr>
          <w:rtl w:val="0"/>
        </w:rPr>
        <w:t>,2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7</m:t>
            </m:r>
          </m:sup>
        </m:sSup>
      </m:oMath>
      <w:r>
        <w:rPr>
          <w:rtl w:val="0"/>
        </w:rPr>
        <w:t xml:space="preserve"> </w:t>
      </w:r>
      <w:r>
        <w:rPr>
          <w:rtl w:val="0"/>
          <w:lang w:val="ru-RU"/>
        </w:rPr>
        <w:t>м</w:t>
      </w:r>
    </w:p>
    <w:p>
      <w:pPr>
        <w:pStyle w:val="Текстовый блок"/>
        <w:bidi w:val="0"/>
        <w:rPr>
          <w:rStyle w:val="Нет"/>
          <w:rFonts w:ascii="Tahoma" w:cs="Tahoma" w:hAnsi="Tahoma" w:eastAsia="Tahoma"/>
        </w:rPr>
      </w:pPr>
      <w:r>
        <w:rPr>
          <w:rtl w:val="0"/>
          <w:lang w:val="ru-RU"/>
        </w:rPr>
        <w:t xml:space="preserve">Получим </w:t>
      </w:r>
      <w:r>
        <w:rPr>
          <w:rtl w:val="0"/>
          <w:lang w:val="ru-RU"/>
        </w:rPr>
        <w:t>эффективное сечение столкновений атомов гелия с частицами воздуха</w:t>
      </w:r>
    </w:p>
    <w:p>
      <w:pPr>
        <w:pStyle w:val="Текстовый блок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σ</m:t>
        </m:r>
      </m:oMath>
      <w:r>
        <w:rPr>
          <w:rtl w:val="0"/>
        </w:rPr>
        <w:t>:</w:t>
      </w:r>
    </w:p>
    <w:p>
      <w:pPr>
        <w:pStyle w:val="Текстовый блок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σ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гелий-воздух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λ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e</m:t>
                </m:r>
              </m:sub>
            </m:sSub>
          </m:den>
        </m:f>
      </m:oMath>
      <w:r>
        <w:rPr>
          <w:rtl w:val="0"/>
        </w:rPr>
        <w:t>=3,3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19</m:t>
            </m:r>
          </m:sup>
        </m:sSup>
      </m:oMath>
      <w:r>
        <w:rPr>
          <w:rtl w:val="0"/>
          <w:lang w:val="ru-RU"/>
        </w:rPr>
        <w:t xml:space="preserve"> </w:t>
      </w:r>
      <m:oMath>
        <m:sSup>
          <m:e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м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</m:oMath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Вывод</w:t>
      </w:r>
    </w:p>
    <w:p>
      <w:pPr>
        <w:pStyle w:val="Текстовый блок"/>
        <w:bidi w:val="0"/>
      </w:pPr>
      <w:r>
        <w:rPr>
          <w:rtl w:val="0"/>
          <w:lang w:val="ru-RU"/>
        </w:rPr>
        <w:t>В ходе работы экспериментально установили коэффициент взаимной диффузии воздуха и гелия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Полученное значение близко к табличному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 полученного значения рассчитали длину свободного пробега атомов гелия в воздухе и эффективное сечение столкновений атомов гелия с частицами воздуха</w:t>
      </w:r>
      <w:r>
        <w:rPr>
          <w:rtl w:val="0"/>
          <w:lang w:val="ru-RU"/>
        </w:rPr>
        <w:t>.</w:t>
      </w:r>
      <w:r>
        <w:rPr>
          <w:rtl w:val="0"/>
        </w:rPr>
        <w:t xml:space="preserve"> </w:t>
      </w:r>
      <w:r>
        <w:rPr>
          <w:rtl w:val="0"/>
          <w:lang w:val="ru-RU"/>
        </w:rPr>
        <w:t>Погрешность вносится за счет неточности измерений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Несоответствие табличных и экспериментальных данных вызвано несоответствиями параметров установки и начальных значений в таблице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температура и давление</w:t>
      </w:r>
      <w:r>
        <w:rPr>
          <w:rtl w:val="0"/>
          <w:lang w:val="ru-RU"/>
        </w:rPr>
        <w:t>).</w:t>
      </w:r>
    </w:p>
    <w:sectPr>
      <w:headerReference w:type="default" r:id="rId20"/>
      <w:footerReference w:type="default" r:id="rId2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38"/>
      </w:tabs>
      <w:jc w:val="left"/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  <w:t>10</w:t>
    </w:r>
    <w:r>
      <w:rPr>
        <w:rFonts w:ascii="Times New Roman" w:hAnsi="Times New Roman"/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Нет">
    <w:name w:val="Нет"/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image" Target="media/image5.png"/><Relationship Id="rId11" Type="http://schemas.openxmlformats.org/officeDocument/2006/relationships/chart" Target="charts/chart3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Times New Roman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Times New Roman"/>
              </a:rPr>
              <a:t>Давление 60 торр</a:t>
            </a:r>
          </a:p>
        </c:rich>
      </c:tx>
      <c:layout>
        <c:manualLayout>
          <c:xMode val="edge"/>
          <c:yMode val="edge"/>
          <c:x val="0.41077"/>
          <c:y val="0"/>
          <c:w val="0.178461"/>
          <c:h val="0.0688134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887031"/>
          <c:y val="0.0688134"/>
          <c:w val="0.895417"/>
          <c:h val="0.83239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Логарифм</c:v>
                </c:pt>
              </c:strCache>
            </c:strRef>
          </c:tx>
          <c:spPr>
            <a:solidFill>
              <a:srgbClr val="000000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3"/>
            <c:spPr>
              <a:solidFill>
                <a:srgbClr val="000000"/>
              </a:solidFill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errBars>
            <c:errDir val="y"/>
            <c:errBarType val="both"/>
            <c:errValType val="stdErr"/>
            <c:noEndCap val="0"/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Sheet1!$B$2:$B$25</c:f>
              <c:numCache>
                <c:ptCount val="24"/>
                <c:pt idx="0">
                  <c:v>0.000000</c:v>
                </c:pt>
                <c:pt idx="1">
                  <c:v>20.670000</c:v>
                </c:pt>
                <c:pt idx="2">
                  <c:v>41.350000</c:v>
                </c:pt>
                <c:pt idx="3">
                  <c:v>62.020000</c:v>
                </c:pt>
                <c:pt idx="4">
                  <c:v>82.700000</c:v>
                </c:pt>
                <c:pt idx="5">
                  <c:v>103.370000</c:v>
                </c:pt>
                <c:pt idx="6">
                  <c:v>124.040000</c:v>
                </c:pt>
                <c:pt idx="7">
                  <c:v>144.720000</c:v>
                </c:pt>
                <c:pt idx="8">
                  <c:v>165.390000</c:v>
                </c:pt>
                <c:pt idx="9">
                  <c:v>186.070000</c:v>
                </c:pt>
                <c:pt idx="10">
                  <c:v>206.740000</c:v>
                </c:pt>
                <c:pt idx="11">
                  <c:v>227.410000</c:v>
                </c:pt>
                <c:pt idx="12">
                  <c:v>248.090000</c:v>
                </c:pt>
                <c:pt idx="13">
                  <c:v>268.760000</c:v>
                </c:pt>
                <c:pt idx="14">
                  <c:v>289.430000</c:v>
                </c:pt>
                <c:pt idx="15">
                  <c:v>310.110000</c:v>
                </c:pt>
                <c:pt idx="16">
                  <c:v>330.780000</c:v>
                </c:pt>
                <c:pt idx="17">
                  <c:v>351.460000</c:v>
                </c:pt>
                <c:pt idx="18">
                  <c:v>372.130000</c:v>
                </c:pt>
                <c:pt idx="19">
                  <c:v>392.800000</c:v>
                </c:pt>
                <c:pt idx="20">
                  <c:v>413.480000</c:v>
                </c:pt>
                <c:pt idx="21">
                  <c:v>434.150000</c:v>
                </c:pt>
                <c:pt idx="22">
                  <c:v>454.830000</c:v>
                </c:pt>
                <c:pt idx="23">
                  <c:v>475.500000</c:v>
                </c:pt>
              </c:numCache>
            </c:numRef>
          </c:xVal>
          <c:yVal>
            <c:numRef>
              <c:f>Sheet1!$C$2:$C$25</c:f>
              <c:numCache>
                <c:ptCount val="24"/>
                <c:pt idx="0">
                  <c:v>0.000000</c:v>
                </c:pt>
                <c:pt idx="1">
                  <c:v>-0.031066</c:v>
                </c:pt>
                <c:pt idx="2">
                  <c:v>-0.060625</c:v>
                </c:pt>
                <c:pt idx="3">
                  <c:v>-0.091513</c:v>
                </c:pt>
                <c:pt idx="4">
                  <c:v>-0.121171</c:v>
                </c:pt>
                <c:pt idx="5">
                  <c:v>-0.161366</c:v>
                </c:pt>
                <c:pt idx="6">
                  <c:v>-0.192728</c:v>
                </c:pt>
                <c:pt idx="7">
                  <c:v>-0.218254</c:v>
                </c:pt>
                <c:pt idx="8">
                  <c:v>-0.249467</c:v>
                </c:pt>
                <c:pt idx="9">
                  <c:v>-0.278573</c:v>
                </c:pt>
                <c:pt idx="10">
                  <c:v>-0.310155</c:v>
                </c:pt>
                <c:pt idx="11">
                  <c:v>-0.340559</c:v>
                </c:pt>
                <c:pt idx="12">
                  <c:v>-0.370780</c:v>
                </c:pt>
                <c:pt idx="13">
                  <c:v>-0.399600</c:v>
                </c:pt>
                <c:pt idx="14">
                  <c:v>-0.429276</c:v>
                </c:pt>
                <c:pt idx="15">
                  <c:v>-0.466090</c:v>
                </c:pt>
                <c:pt idx="16">
                  <c:v>-0.494618</c:v>
                </c:pt>
                <c:pt idx="17">
                  <c:v>-0.523984</c:v>
                </c:pt>
                <c:pt idx="18">
                  <c:v>-0.551511</c:v>
                </c:pt>
                <c:pt idx="19">
                  <c:v>-0.578419</c:v>
                </c:pt>
                <c:pt idx="20">
                  <c:v>-0.611838</c:v>
                </c:pt>
                <c:pt idx="21">
                  <c:v>-0.635989</c:v>
                </c:pt>
                <c:pt idx="22">
                  <c:v>-0.667594</c:v>
                </c:pt>
                <c:pt idx="23">
                  <c:v>-0.697076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t</a:t>
                </a:r>
              </a:p>
            </c:rich>
          </c:tx>
          <c:layout/>
          <c:overlay val="1"/>
        </c:title>
        <c:numFmt formatCode="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3"/>
        <c:crosses val="autoZero"/>
        <c:crossBetween val="between"/>
        <c:majorUnit val="100"/>
        <c:minorUnit val="16.6667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ln(U/U0)</a:t>
                </a:r>
              </a:p>
            </c:rich>
          </c:tx>
          <c:layout/>
          <c:overlay val="1"/>
        </c:title>
        <c:numFmt formatCode="0.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2"/>
        <c:crosses val="autoZero"/>
        <c:crossBetween val="between"/>
        <c:majorUnit val="0.25"/>
        <c:minorUnit val="0.0416667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Times New Roman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Times New Roman"/>
              </a:rPr>
              <a:t>Давление 80 торр</a:t>
            </a:r>
          </a:p>
        </c:rich>
      </c:tx>
      <c:layout>
        <c:manualLayout>
          <c:xMode val="edge"/>
          <c:yMode val="edge"/>
          <c:x val="0.41077"/>
          <c:y val="0"/>
          <c:w val="0.178461"/>
          <c:h val="0.0669751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887031"/>
          <c:y val="0.0669751"/>
          <c:w val="0.895417"/>
          <c:h val="0.8365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Логарифм</c:v>
                </c:pt>
              </c:strCache>
            </c:strRef>
          </c:tx>
          <c:spPr>
            <a:solidFill>
              <a:srgbClr val="000000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2"/>
            <c:spPr>
              <a:solidFill>
                <a:srgbClr val="000000"/>
              </a:solidFill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errBars>
            <c:errDir val="y"/>
            <c:errBarType val="both"/>
            <c:errValType val="stdErr"/>
            <c:noEndCap val="0"/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Sheet1!$B$2:$B$25</c:f>
              <c:numCache>
                <c:ptCount val="24"/>
                <c:pt idx="0">
                  <c:v>0.000000</c:v>
                </c:pt>
                <c:pt idx="1">
                  <c:v>27.330000</c:v>
                </c:pt>
                <c:pt idx="2">
                  <c:v>54.650000</c:v>
                </c:pt>
                <c:pt idx="3">
                  <c:v>81.980000</c:v>
                </c:pt>
                <c:pt idx="4">
                  <c:v>109.300000</c:v>
                </c:pt>
                <c:pt idx="5">
                  <c:v>136.630000</c:v>
                </c:pt>
                <c:pt idx="6">
                  <c:v>163.960000</c:v>
                </c:pt>
                <c:pt idx="7">
                  <c:v>191.280000</c:v>
                </c:pt>
                <c:pt idx="8">
                  <c:v>218.610000</c:v>
                </c:pt>
                <c:pt idx="9">
                  <c:v>245.930000</c:v>
                </c:pt>
                <c:pt idx="10">
                  <c:v>273.260000</c:v>
                </c:pt>
                <c:pt idx="11">
                  <c:v>300.590000</c:v>
                </c:pt>
                <c:pt idx="12">
                  <c:v>327.910000</c:v>
                </c:pt>
                <c:pt idx="13">
                  <c:v>355.240000</c:v>
                </c:pt>
                <c:pt idx="14">
                  <c:v>382.570000</c:v>
                </c:pt>
                <c:pt idx="15">
                  <c:v>409.890000</c:v>
                </c:pt>
                <c:pt idx="16">
                  <c:v>437.220000</c:v>
                </c:pt>
                <c:pt idx="17">
                  <c:v>464.540000</c:v>
                </c:pt>
                <c:pt idx="18">
                  <c:v>491.870000</c:v>
                </c:pt>
                <c:pt idx="19">
                  <c:v>519.200000</c:v>
                </c:pt>
                <c:pt idx="20">
                  <c:v>546.520000</c:v>
                </c:pt>
                <c:pt idx="21">
                  <c:v>573.850000</c:v>
                </c:pt>
                <c:pt idx="22">
                  <c:v>601.170000</c:v>
                </c:pt>
                <c:pt idx="23">
                  <c:v>628.500000</c:v>
                </c:pt>
              </c:numCache>
            </c:numRef>
          </c:xVal>
          <c:yVal>
            <c:numRef>
              <c:f>Sheet1!$C$2:$C$25</c:f>
              <c:numCache>
                <c:ptCount val="24"/>
                <c:pt idx="0">
                  <c:v>0.000000</c:v>
                </c:pt>
                <c:pt idx="1">
                  <c:v>-0.028642</c:v>
                </c:pt>
                <c:pt idx="2">
                  <c:v>-0.060625</c:v>
                </c:pt>
                <c:pt idx="3">
                  <c:v>-0.090225</c:v>
                </c:pt>
                <c:pt idx="4">
                  <c:v>-0.120729</c:v>
                </c:pt>
                <c:pt idx="5">
                  <c:v>-0.157227</c:v>
                </c:pt>
                <c:pt idx="6">
                  <c:v>-0.186093</c:v>
                </c:pt>
                <c:pt idx="7">
                  <c:v>-0.218254</c:v>
                </c:pt>
                <c:pt idx="8">
                  <c:v>-0.247959</c:v>
                </c:pt>
                <c:pt idx="9">
                  <c:v>-0.278573</c:v>
                </c:pt>
                <c:pt idx="10">
                  <c:v>-0.310155</c:v>
                </c:pt>
                <c:pt idx="11">
                  <c:v>-0.342767</c:v>
                </c:pt>
                <c:pt idx="12">
                  <c:v>-0.374194</c:v>
                </c:pt>
                <c:pt idx="13">
                  <c:v>-0.404289</c:v>
                </c:pt>
                <c:pt idx="14">
                  <c:v>-0.429276</c:v>
                </c:pt>
                <c:pt idx="15">
                  <c:v>-0.461724</c:v>
                </c:pt>
                <c:pt idx="16">
                  <c:v>-0.491408</c:v>
                </c:pt>
                <c:pt idx="17">
                  <c:v>-0.517383</c:v>
                </c:pt>
                <c:pt idx="18">
                  <c:v>-0.550151</c:v>
                </c:pt>
                <c:pt idx="19">
                  <c:v>-0.578419</c:v>
                </c:pt>
                <c:pt idx="20">
                  <c:v>-0.606790</c:v>
                </c:pt>
                <c:pt idx="21">
                  <c:v>-0.635989</c:v>
                </c:pt>
                <c:pt idx="22">
                  <c:v>-0.666066</c:v>
                </c:pt>
                <c:pt idx="23">
                  <c:v>-0.689233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t</a:t>
                </a:r>
              </a:p>
            </c:rich>
          </c:tx>
          <c:layout/>
          <c:overlay val="1"/>
        </c:title>
        <c:numFmt formatCode="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3"/>
        <c:crosses val="autoZero"/>
        <c:crossBetween val="between"/>
        <c:majorUnit val="100"/>
        <c:minorUnit val="16.6667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ln(U/U0)</a:t>
                </a:r>
              </a:p>
            </c:rich>
          </c:tx>
          <c:layout/>
          <c:overlay val="1"/>
        </c:title>
        <c:numFmt formatCode="0.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2"/>
        <c:crosses val="autoZero"/>
        <c:crossBetween val="between"/>
        <c:majorUnit val="0.25"/>
        <c:minorUnit val="0.0416667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41005"/>
          <c:y val="0.0395205"/>
          <c:w val="0.902238"/>
          <c:h val="0.83051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1/Давление (П)</c:v>
                </c:pt>
              </c:strCache>
            </c:strRef>
          </c:tx>
          <c:spPr>
            <a:solidFill>
              <a:srgbClr val="000000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4"/>
            <c:spPr>
              <a:solidFill>
                <a:srgbClr val="000000"/>
              </a:solidFill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errBars>
            <c:errDir val="x"/>
            <c:errBarType val="both"/>
            <c:errValType val="percentage"/>
            <c:noEndCap val="0"/>
            <c:val val="5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3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Sheet1!$B$2:$B$6</c:f>
              <c:numCache>
                <c:ptCount val="4"/>
                <c:pt idx="0">
                  <c:v>12.501063</c:v>
                </c:pt>
                <c:pt idx="1">
                  <c:v>9.375797</c:v>
                </c:pt>
                <c:pt idx="2">
                  <c:v>6.250531</c:v>
                </c:pt>
                <c:pt idx="3">
                  <c:v>4.687898</c:v>
                </c:pt>
              </c:numCache>
            </c:numRef>
          </c:xVal>
          <c:yVal>
            <c:numRef>
              <c:f>Sheet1!$C$2:$C$6</c:f>
              <c:numCache>
                <c:ptCount val="4"/>
                <c:pt idx="0">
                  <c:v>6.600000</c:v>
                </c:pt>
                <c:pt idx="1">
                  <c:v>4.840000</c:v>
                </c:pt>
                <c:pt idx="2">
                  <c:v>3.520000</c:v>
                </c:pt>
                <c:pt idx="3">
                  <c:v>2.640000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Новая 3</c:v>
                </c:pt>
              </c:strCache>
            </c:strRef>
          </c:tx>
          <c:spPr>
            <a:noFill/>
            <a:ln w="12700" cap="flat">
              <a:noFill/>
              <a:prstDash val="solid"/>
              <a:miter lim="400000"/>
            </a:ln>
            <a:effectLst/>
          </c:spPr>
          <c:marker>
            <c:symbol val="none"/>
            <c:size val="8"/>
            <c:spPr>
              <a:noFill/>
              <a:ln w="254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Sheet1!$D$2:$D$6</c:f>
              <c:numCache>
                <c:ptCount val="5"/>
                <c:pt idx="0">
                  <c:v>0.000000</c:v>
                </c:pt>
                <c:pt idx="1">
                  <c:v>3.250000</c:v>
                </c:pt>
                <c:pt idx="2">
                  <c:v>6.500000</c:v>
                </c:pt>
                <c:pt idx="3">
                  <c:v>9.750000</c:v>
                </c:pt>
                <c:pt idx="4">
                  <c:v>13.000000</c:v>
                </c:pt>
              </c:numCache>
            </c:numRef>
          </c:xVal>
          <c:yVal>
            <c:numRef>
              <c:f>Sheet1!$E$2:$E$6</c:f>
              <c:numCache>
                <c:ptCount val="5"/>
                <c:pt idx="0">
                  <c:v>0.000000</c:v>
                </c:pt>
                <c:pt idx="1">
                  <c:v>1.727751</c:v>
                </c:pt>
                <c:pt idx="2">
                  <c:v>3.455501</c:v>
                </c:pt>
                <c:pt idx="3">
                  <c:v>5.183252</c:v>
                </c:pt>
                <c:pt idx="4">
                  <c:v>6.911003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  <c:min val="0"/>
        </c:scaling>
        <c:delete val="0"/>
        <c:axPos val="b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1/P, атм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3"/>
        <c:crosses val="autoZero"/>
        <c:crossBetween val="between"/>
        <c:majorUnit val="2"/>
        <c:minorUnit val="0.333333"/>
      </c:valAx>
      <c:valAx>
        <c:axId val="2094734553"/>
        <c:scaling>
          <c:orientation val="minMax"/>
          <c:min val="0"/>
        </c:scaling>
        <c:delete val="0"/>
        <c:axPos val="l"/>
        <c:majorGridlines>
          <c:spPr>
            <a:ln w="12700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D, см^2/с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2"/>
        <c:crosses val="autoZero"/>
        <c:crossBetween val="between"/>
        <c:majorUnit val="1"/>
        <c:minorUnit val="0.166667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