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b/>
          <w:color w:val="0F172A"/>
          <w:sz w:val="40"/>
        </w:rPr>
        <w:t>Cisco Virtual Cyber Security Internship</w:t>
      </w:r>
    </w:p>
    <w:p>
      <w:pPr>
        <w:spacing w:after="720"/>
        <w:jc w:val="center"/>
      </w:pPr>
      <w:r>
        <w:rPr>
          <w:b/>
          <w:color w:val="0284C7"/>
          <w:sz w:val="32"/>
        </w:rPr>
        <w:t>Industry Task Report</w:t>
      </w:r>
    </w:p>
    <w:p>
      <w:pPr>
        <w:spacing w:after="120"/>
        <w:jc w:val="center"/>
      </w:pPr>
      <w:r>
        <w:rPr>
          <w:i/>
          <w:sz w:val="24"/>
        </w:rPr>
        <w:t>Submitted to</w:t>
      </w:r>
    </w:p>
    <w:p>
      <w:pPr>
        <w:spacing w:after="560"/>
        <w:jc w:val="center"/>
      </w:pPr>
      <w:r>
        <w:rPr>
          <w:b/>
          <w:color w:val="0F172A"/>
          <w:sz w:val="28"/>
        </w:rPr>
        <w:t>Cisco Systems, Inc.,</w:t>
      </w:r>
    </w:p>
    <w:p>
      <w:pPr>
        <w:spacing w:after="120"/>
        <w:jc w:val="center"/>
      </w:pPr>
      <w:r>
        <w:rPr>
          <w:i/>
          <w:sz w:val="24"/>
        </w:rPr>
        <w:t>Submitted By</w:t>
      </w:r>
    </w:p>
    <w:p>
      <w:pPr>
        <w:spacing w:after="720"/>
        <w:jc w:val="center"/>
      </w:pPr>
      <w:r>
        <w:rPr>
          <w:b/>
          <w:sz w:val="26"/>
        </w:rPr>
        <w:t>X.XXXXXXX   -   (23691A0XXX)</w:t>
      </w:r>
    </w:p>
    <w:p>
      <w:pPr>
        <w:spacing w:after="80"/>
        <w:jc w:val="center"/>
      </w:pPr>
      <w:r>
        <w:rPr>
          <w:i/>
          <w:color w:val="10B981"/>
          <w:sz w:val="22"/>
        </w:rPr>
        <w:t>Under the Guidance of</w:t>
      </w:r>
    </w:p>
    <w:p>
      <w:pPr>
        <w:spacing w:after="40"/>
        <w:jc w:val="center"/>
      </w:pPr>
      <w:r>
        <w:rPr>
          <w:b/>
          <w:color w:val="DC2626"/>
          <w:sz w:val="22"/>
        </w:rPr>
        <w:t>Dr. KUMAR, B.E, ME, PhD, CCNA (Inst), SMIEEE, FMIETE, MISTE.</w:t>
      </w:r>
    </w:p>
    <w:p>
      <w:pPr>
        <w:spacing w:after="40"/>
        <w:jc w:val="center"/>
      </w:pPr>
      <w:r>
        <w:rPr>
          <w:b/>
          <w:color w:val="DC2626"/>
          <w:sz w:val="22"/>
        </w:rPr>
        <w:t>MITS Cisco Networking Academy Instructor</w:t>
      </w:r>
    </w:p>
    <w:p>
      <w:pPr>
        <w:spacing w:after="960"/>
        <w:jc w:val="center"/>
      </w:pPr>
      <w:r>
        <w:rPr>
          <w:b/>
          <w:color w:val="DC2626"/>
          <w:sz w:val="22"/>
        </w:rPr>
        <w:t>MITS Cisco Networking Academy, MITS</w:t>
      </w:r>
    </w:p>
    <w:p>
      <w:pPr>
        <w:spacing w:after="80"/>
        <w:jc w:val="center"/>
      </w:pPr>
      <w:r>
        <w:rPr>
          <w:b/>
          <w:color w:val="7F1D1D"/>
          <w:sz w:val="26"/>
        </w:rPr>
        <w:t>MADANAPALLE INSTITUTE OF TECHNOLOGY &amp; SCIENCE</w:t>
      </w:r>
    </w:p>
    <w:p>
      <w:pPr>
        <w:spacing w:after="80"/>
        <w:jc w:val="center"/>
      </w:pPr>
      <w:r>
        <w:rPr>
          <w:b/>
          <w:color w:val="7F1D1D"/>
          <w:sz w:val="22"/>
        </w:rPr>
        <w:t>(Deemed to be University)</w:t>
      </w:r>
    </w:p>
    <w:p>
      <w:pPr>
        <w:spacing w:after="40"/>
        <w:jc w:val="center"/>
      </w:pPr>
      <w:r>
        <w:rPr>
          <w:sz w:val="20"/>
        </w:rPr>
        <w:t>Accredited by NBA, Approved by UGC &amp; AICTE, New Delhi</w:t>
      </w:r>
    </w:p>
    <w:p>
      <w:pPr>
        <w:spacing w:after="40"/>
        <w:jc w:val="center"/>
      </w:pPr>
      <w:r>
        <w:rPr>
          <w:sz w:val="20"/>
        </w:rPr>
        <w:t>AN ISO 21001:2018 Certified Institution</w:t>
      </w:r>
    </w:p>
    <w:p>
      <w:pPr>
        <w:spacing w:after="40"/>
        <w:jc w:val="center"/>
      </w:pPr>
      <w:r>
        <w:rPr>
          <w:sz w:val="20"/>
        </w:rPr>
        <w:t>P. B. No: 14, Angallu, Madanapalle – 517325</w:t>
      </w:r>
    </w:p>
    <w:p>
      <w:pPr>
        <w:spacing w:after="0"/>
        <w:jc w:val="center"/>
      </w:pPr>
      <w:r>
        <w:rPr>
          <w:b/>
          <w:sz w:val="22"/>
        </w:rPr>
        <w:t>2025-26</w:t>
      </w:r>
    </w:p>
    <w:p>
      <w:r>
        <w:br w:type="page"/>
      </w:r>
    </w:p>
    <w:p>
      <w:pPr>
        <w:spacing w:before="960" w:after="720"/>
        <w:jc w:val="center"/>
      </w:pPr>
      <w:r>
        <w:rPr>
          <w:b/>
          <w:sz w:val="28"/>
        </w:rPr>
        <w:t>DECLARATION</w:t>
      </w:r>
    </w:p>
    <w:p>
      <w:pPr>
        <w:spacing w:line="336" w:lineRule="auto" w:after="960"/>
        <w:jc w:val="both"/>
      </w:pPr>
      <w:r>
        <w:t>I (</w:t>
      </w:r>
      <w:r>
        <w:rPr>
          <w:b/>
        </w:rPr>
        <w:t>XXXXX – ROLL BUMBER, YEAR / BRANCH</w:t>
      </w:r>
      <w:r>
        <w:t xml:space="preserve">) hereby declare that the report submitted by me under the supervision of </w:t>
      </w:r>
      <w:r>
        <w:rPr>
          <w:b/>
        </w:rPr>
        <w:t>Dr. KUMAR C, MITS Cisco Networking Academy Instructor</w:t>
      </w:r>
      <w:r>
        <w:t xml:space="preserve"> in partial fulfillment of the award of </w:t>
      </w:r>
      <w:r>
        <w:rPr>
          <w:b/>
        </w:rPr>
        <w:t>“Cisco Virtual internship Program 2025”</w:t>
      </w:r>
      <w:r>
        <w:t xml:space="preserve"> through AICTE, have no plagiarism issues.</w:t>
      </w:r>
    </w:p>
    <w:p>
      <w:pPr>
        <w:spacing w:after="120"/>
      </w:pPr>
      <w:r>
        <w:rPr>
          <w:b/>
        </w:rPr>
        <w:t xml:space="preserve">Date  : </w:t>
      </w:r>
    </w:p>
    <w:p>
      <w:pPr>
        <w:spacing w:after="2800"/>
      </w:pPr>
      <w:r>
        <w:rPr>
          <w:b/>
        </w:rPr>
        <w:t xml:space="preserve">Place : </w:t>
      </w:r>
    </w:p>
    <w:p>
      <w:pPr>
        <w:jc w:val="right"/>
      </w:pPr>
      <w:r>
        <w:rPr>
          <w:b/>
          <w:sz w:val="24"/>
        </w:rPr>
        <w:t>XXXXXX</w:t>
      </w:r>
    </w:p>
    <w:p>
      <w:r>
        <w:br w:type="page"/>
      </w:r>
    </w:p>
    <w:p>
      <w:pPr>
        <w:spacing w:before="480" w:after="480"/>
        <w:jc w:val="center"/>
      </w:pPr>
      <w:r>
        <w:rPr>
          <w:b/>
          <w:sz w:val="28"/>
        </w:rPr>
        <w:t>INDEX</w:t>
      </w:r>
    </w:p>
    <w:tbl>
      <w:tblPr>
        <w:tblW w:type="auto" w:w="0"/>
        <w:jc w:val="center"/>
        <w:tblLayout w:type="fixed"/>
        <w:tblLook w:firstColumn="1" w:firstRow="1" w:lastColumn="0" w:lastRow="0" w:noHBand="0" w:noVBand="1" w:val="04A0"/>
      </w:tblPr>
      <w:tblGrid>
        <w:gridCol w:w="1152"/>
        <w:gridCol w:w="6480"/>
        <w:gridCol w:w="1728"/>
      </w:tblGrid>
      <w:tr>
        <w:tc>
          <w:tcPr>
            <w:tcW w:type="dxa" w:w="3120"/>
            <w:tcMar>
              <w:top w:w="100" w:type="dxa"/>
              <w:bottom w:w="100" w:type="dxa"/>
              <w:left w:w="120" w:type="dxa"/>
              <w:right w:w="120" w:type="dxa"/>
            </w:tcMar>
            <w:vAlign w:val="center"/>
            <w:shd w:fill="E2E8F0"/>
          </w:tcPr>
          <w:p>
            <w:r>
              <w:rPr>
                <w:b/>
                <w:sz w:val="21"/>
              </w:rPr>
              <w:t>S.NO</w:t>
            </w:r>
          </w:p>
        </w:tc>
        <w:tc>
          <w:tcPr>
            <w:tcW w:type="dxa" w:w="3120"/>
            <w:tcMar>
              <w:top w:w="100" w:type="dxa"/>
              <w:bottom w:w="100" w:type="dxa"/>
              <w:left w:w="120" w:type="dxa"/>
              <w:right w:w="120" w:type="dxa"/>
            </w:tcMar>
            <w:vAlign w:val="center"/>
            <w:shd w:fill="E2E8F0"/>
          </w:tcPr>
          <w:p>
            <w:r>
              <w:rPr>
                <w:b/>
                <w:sz w:val="21"/>
              </w:rPr>
              <w:t>TOPIC</w:t>
            </w:r>
          </w:p>
        </w:tc>
        <w:tc>
          <w:tcPr>
            <w:tcW w:type="dxa" w:w="3120"/>
            <w:tcMar>
              <w:top w:w="100" w:type="dxa"/>
              <w:bottom w:w="100" w:type="dxa"/>
              <w:left w:w="120" w:type="dxa"/>
              <w:right w:w="120" w:type="dxa"/>
            </w:tcMar>
            <w:vAlign w:val="center"/>
            <w:shd w:fill="E2E8F0"/>
          </w:tcPr>
          <w:p>
            <w:r>
              <w:rPr>
                <w:b/>
                <w:sz w:val="21"/>
              </w:rPr>
              <w:t>PAGE NO.</w:t>
            </w:r>
          </w:p>
        </w:tc>
      </w:tr>
      <w:tr>
        <w:tc>
          <w:tcPr>
            <w:tcW w:type="dxa" w:w="3120"/>
            <w:tcMar>
              <w:top w:w="100" w:type="dxa"/>
              <w:bottom w:w="100" w:type="dxa"/>
              <w:left w:w="120" w:type="dxa"/>
              <w:right w:w="120" w:type="dxa"/>
            </w:tcMar>
            <w:vAlign w:val="center"/>
          </w:tcPr>
          <w:p>
            <w:r>
              <w:t>1.</w:t>
            </w:r>
          </w:p>
        </w:tc>
        <w:tc>
          <w:tcPr>
            <w:tcW w:type="dxa" w:w="3120"/>
            <w:tcMar>
              <w:top w:w="100" w:type="dxa"/>
              <w:bottom w:w="100" w:type="dxa"/>
              <w:left w:w="120" w:type="dxa"/>
              <w:right w:w="120" w:type="dxa"/>
            </w:tcMar>
            <w:vAlign w:val="center"/>
          </w:tcPr>
          <w:p>
            <w:r>
              <w:rPr>
                <w:b/>
              </w:rPr>
              <w:t>INTRODUCTION</w:t>
            </w:r>
          </w:p>
        </w:tc>
        <w:tc>
          <w:tcPr>
            <w:tcW w:type="dxa" w:w="3120"/>
            <w:tcMar>
              <w:top w:w="100" w:type="dxa"/>
              <w:bottom w:w="100" w:type="dxa"/>
              <w:left w:w="120" w:type="dxa"/>
              <w:right w:w="120" w:type="dxa"/>
            </w:tcMar>
            <w:vAlign w:val="center"/>
          </w:tcPr>
          <w:p>
            <w:r>
              <w:t>1</w:t>
            </w:r>
          </w:p>
        </w:tc>
      </w:tr>
      <w:tr>
        <w:tc>
          <w:tcPr>
            <w:tcW w:type="dxa" w:w="3120"/>
            <w:tcMar>
              <w:top w:w="100" w:type="dxa"/>
              <w:bottom w:w="100" w:type="dxa"/>
              <w:left w:w="120" w:type="dxa"/>
              <w:right w:w="120" w:type="dxa"/>
            </w:tcMar>
            <w:vAlign w:val="center"/>
          </w:tcPr>
          <w:p>
            <w:r/>
          </w:p>
        </w:tc>
        <w:tc>
          <w:tcPr>
            <w:tcW w:type="dxa" w:w="3120"/>
            <w:tcMar>
              <w:top w:w="100" w:type="dxa"/>
              <w:bottom w:w="100" w:type="dxa"/>
              <w:left w:w="120" w:type="dxa"/>
              <w:right w:w="120" w:type="dxa"/>
            </w:tcMar>
            <w:vAlign w:val="center"/>
          </w:tcPr>
          <w:p>
            <w:r>
              <w:t>1.1 Problem Definition</w:t>
            </w:r>
          </w:p>
        </w:tc>
        <w:tc>
          <w:tcPr>
            <w:tcW w:type="dxa" w:w="3120"/>
            <w:tcMar>
              <w:top w:w="100" w:type="dxa"/>
              <w:bottom w:w="100" w:type="dxa"/>
              <w:left w:w="120" w:type="dxa"/>
              <w:right w:w="120" w:type="dxa"/>
            </w:tcMar>
            <w:vAlign w:val="center"/>
          </w:tcPr>
          <w:p>
            <w:r>
              <w:t>2</w:t>
            </w:r>
          </w:p>
        </w:tc>
      </w:tr>
      <w:tr>
        <w:tc>
          <w:tcPr>
            <w:tcW w:type="dxa" w:w="3120"/>
            <w:tcMar>
              <w:top w:w="100" w:type="dxa"/>
              <w:bottom w:w="100" w:type="dxa"/>
              <w:left w:w="120" w:type="dxa"/>
              <w:right w:w="120" w:type="dxa"/>
            </w:tcMar>
            <w:vAlign w:val="center"/>
          </w:tcPr>
          <w:p>
            <w:r>
              <w:t>2.</w:t>
            </w:r>
          </w:p>
        </w:tc>
        <w:tc>
          <w:tcPr>
            <w:tcW w:type="dxa" w:w="3120"/>
            <w:tcMar>
              <w:top w:w="100" w:type="dxa"/>
              <w:bottom w:w="100" w:type="dxa"/>
              <w:left w:w="120" w:type="dxa"/>
              <w:right w:w="120" w:type="dxa"/>
            </w:tcMar>
            <w:vAlign w:val="center"/>
          </w:tcPr>
          <w:p>
            <w:r>
              <w:rPr>
                <w:b/>
              </w:rPr>
              <w:t>Solution</w:t>
            </w:r>
          </w:p>
        </w:tc>
        <w:tc>
          <w:tcPr>
            <w:tcW w:type="dxa" w:w="3120"/>
            <w:tcMar>
              <w:top w:w="100" w:type="dxa"/>
              <w:bottom w:w="100" w:type="dxa"/>
              <w:left w:w="120" w:type="dxa"/>
              <w:right w:w="120" w:type="dxa"/>
            </w:tcMar>
            <w:vAlign w:val="center"/>
          </w:tcPr>
          <w:p>
            <w:r>
              <w:t>4</w:t>
            </w:r>
          </w:p>
        </w:tc>
      </w:tr>
      <w:tr>
        <w:tc>
          <w:tcPr>
            <w:tcW w:type="dxa" w:w="3120"/>
            <w:tcMar>
              <w:top w:w="100" w:type="dxa"/>
              <w:bottom w:w="100" w:type="dxa"/>
              <w:left w:w="120" w:type="dxa"/>
              <w:right w:w="120" w:type="dxa"/>
            </w:tcMar>
            <w:vAlign w:val="center"/>
          </w:tcPr>
          <w:p>
            <w:r/>
          </w:p>
        </w:tc>
        <w:tc>
          <w:tcPr>
            <w:tcW w:type="dxa" w:w="3120"/>
            <w:tcMar>
              <w:top w:w="100" w:type="dxa"/>
              <w:bottom w:w="100" w:type="dxa"/>
              <w:left w:w="120" w:type="dxa"/>
              <w:right w:w="120" w:type="dxa"/>
            </w:tcMar>
            <w:vAlign w:val="center"/>
          </w:tcPr>
          <w:p>
            <w:r>
              <w:t>2.1 Introduction</w:t>
            </w:r>
          </w:p>
        </w:tc>
        <w:tc>
          <w:tcPr>
            <w:tcW w:type="dxa" w:w="3120"/>
            <w:tcMar>
              <w:top w:w="100" w:type="dxa"/>
              <w:bottom w:w="100" w:type="dxa"/>
              <w:left w:w="120" w:type="dxa"/>
              <w:right w:w="120" w:type="dxa"/>
            </w:tcMar>
            <w:vAlign w:val="center"/>
          </w:tcPr>
          <w:p>
            <w:r>
              <w:t>6</w:t>
            </w:r>
          </w:p>
        </w:tc>
      </w:tr>
      <w:tr>
        <w:tc>
          <w:tcPr>
            <w:tcW w:type="dxa" w:w="3120"/>
            <w:tcMar>
              <w:top w:w="100" w:type="dxa"/>
              <w:bottom w:w="100" w:type="dxa"/>
              <w:left w:w="120" w:type="dxa"/>
              <w:right w:w="120" w:type="dxa"/>
            </w:tcMar>
            <w:vAlign w:val="center"/>
          </w:tcPr>
          <w:p>
            <w:r/>
          </w:p>
        </w:tc>
        <w:tc>
          <w:tcPr>
            <w:tcW w:type="dxa" w:w="3120"/>
            <w:tcMar>
              <w:top w:w="100" w:type="dxa"/>
              <w:bottom w:w="100" w:type="dxa"/>
              <w:left w:w="120" w:type="dxa"/>
              <w:right w:w="120" w:type="dxa"/>
            </w:tcMar>
            <w:vAlign w:val="center"/>
          </w:tcPr>
          <w:p>
            <w:r>
              <w:t>2.2 Security Diagram of the Organization</w:t>
            </w:r>
          </w:p>
        </w:tc>
        <w:tc>
          <w:tcPr>
            <w:tcW w:type="dxa" w:w="3120"/>
            <w:tcMar>
              <w:top w:w="100" w:type="dxa"/>
              <w:bottom w:w="100" w:type="dxa"/>
              <w:left w:w="120" w:type="dxa"/>
              <w:right w:w="120" w:type="dxa"/>
            </w:tcMar>
            <w:vAlign w:val="center"/>
          </w:tcPr>
          <w:p>
            <w:r>
              <w:t>7</w:t>
            </w:r>
          </w:p>
        </w:tc>
      </w:tr>
      <w:tr>
        <w:tc>
          <w:tcPr>
            <w:tcW w:type="dxa" w:w="3120"/>
            <w:tcMar>
              <w:top w:w="100" w:type="dxa"/>
              <w:bottom w:w="100" w:type="dxa"/>
              <w:left w:w="120" w:type="dxa"/>
              <w:right w:w="120" w:type="dxa"/>
            </w:tcMar>
            <w:vAlign w:val="center"/>
          </w:tcPr>
          <w:p>
            <w:r/>
          </w:p>
        </w:tc>
        <w:tc>
          <w:tcPr>
            <w:tcW w:type="dxa" w:w="3120"/>
            <w:tcMar>
              <w:top w:w="100" w:type="dxa"/>
              <w:bottom w:w="100" w:type="dxa"/>
              <w:left w:w="120" w:type="dxa"/>
              <w:right w:w="120" w:type="dxa"/>
            </w:tcMar>
            <w:vAlign w:val="center"/>
          </w:tcPr>
          <w:p>
            <w:r>
              <w:t>2.3 Screen shot of activity from Cisco Packet Tracer Software</w:t>
            </w:r>
          </w:p>
        </w:tc>
        <w:tc>
          <w:tcPr>
            <w:tcW w:type="dxa" w:w="3120"/>
            <w:tcMar>
              <w:top w:w="100" w:type="dxa"/>
              <w:bottom w:w="100" w:type="dxa"/>
              <w:left w:w="120" w:type="dxa"/>
              <w:right w:w="120" w:type="dxa"/>
            </w:tcMar>
            <w:vAlign w:val="center"/>
          </w:tcPr>
          <w:p>
            <w:r>
              <w:t>8</w:t>
            </w:r>
          </w:p>
        </w:tc>
      </w:tr>
      <w:tr>
        <w:tc>
          <w:tcPr>
            <w:tcW w:type="dxa" w:w="3120"/>
            <w:tcMar>
              <w:top w:w="100" w:type="dxa"/>
              <w:bottom w:w="100" w:type="dxa"/>
              <w:left w:w="120" w:type="dxa"/>
              <w:right w:w="120" w:type="dxa"/>
            </w:tcMar>
            <w:vAlign w:val="center"/>
          </w:tcPr>
          <w:p>
            <w:r/>
          </w:p>
        </w:tc>
        <w:tc>
          <w:tcPr>
            <w:tcW w:type="dxa" w:w="3120"/>
            <w:tcMar>
              <w:top w:w="100" w:type="dxa"/>
              <w:bottom w:w="100" w:type="dxa"/>
              <w:left w:w="120" w:type="dxa"/>
              <w:right w:w="120" w:type="dxa"/>
            </w:tcMar>
            <w:vAlign w:val="center"/>
          </w:tcPr>
          <w:p>
            <w:r>
              <w:t>2.4 Explanation of Vulnerability in the network</w:t>
            </w:r>
          </w:p>
        </w:tc>
        <w:tc>
          <w:tcPr>
            <w:tcW w:type="dxa" w:w="3120"/>
            <w:tcMar>
              <w:top w:w="100" w:type="dxa"/>
              <w:bottom w:w="100" w:type="dxa"/>
              <w:left w:w="120" w:type="dxa"/>
              <w:right w:w="120" w:type="dxa"/>
            </w:tcMar>
            <w:vAlign w:val="center"/>
          </w:tcPr>
          <w:p>
            <w:r>
              <w:t>15</w:t>
            </w:r>
          </w:p>
        </w:tc>
      </w:tr>
      <w:tr>
        <w:tc>
          <w:tcPr>
            <w:tcW w:type="dxa" w:w="3120"/>
            <w:tcMar>
              <w:top w:w="100" w:type="dxa"/>
              <w:bottom w:w="100" w:type="dxa"/>
              <w:left w:w="120" w:type="dxa"/>
              <w:right w:w="120" w:type="dxa"/>
            </w:tcMar>
            <w:vAlign w:val="center"/>
          </w:tcPr>
          <w:p>
            <w:r/>
          </w:p>
        </w:tc>
        <w:tc>
          <w:tcPr>
            <w:tcW w:type="dxa" w:w="3120"/>
            <w:tcMar>
              <w:top w:w="100" w:type="dxa"/>
              <w:bottom w:w="100" w:type="dxa"/>
              <w:left w:w="120" w:type="dxa"/>
              <w:right w:w="120" w:type="dxa"/>
            </w:tcMar>
            <w:vAlign w:val="center"/>
          </w:tcPr>
          <w:p>
            <w:r>
              <w:t>2.5 Suggestions of Securing the Network</w:t>
            </w:r>
          </w:p>
        </w:tc>
        <w:tc>
          <w:tcPr>
            <w:tcW w:type="dxa" w:w="3120"/>
            <w:tcMar>
              <w:top w:w="100" w:type="dxa"/>
              <w:bottom w:w="100" w:type="dxa"/>
              <w:left w:w="120" w:type="dxa"/>
              <w:right w:w="120" w:type="dxa"/>
            </w:tcMar>
            <w:vAlign w:val="center"/>
          </w:tcPr>
          <w:p>
            <w:r>
              <w:t>20</w:t>
            </w:r>
          </w:p>
        </w:tc>
      </w:tr>
      <w:tr>
        <w:tc>
          <w:tcPr>
            <w:tcW w:type="dxa" w:w="3120"/>
            <w:tcMar>
              <w:top w:w="100" w:type="dxa"/>
              <w:bottom w:w="100" w:type="dxa"/>
              <w:left w:w="120" w:type="dxa"/>
              <w:right w:w="120" w:type="dxa"/>
            </w:tcMar>
            <w:vAlign w:val="center"/>
          </w:tcPr>
          <w:p>
            <w:r>
              <w:t>3.</w:t>
            </w:r>
          </w:p>
        </w:tc>
        <w:tc>
          <w:tcPr>
            <w:tcW w:type="dxa" w:w="3120"/>
            <w:tcMar>
              <w:top w:w="100" w:type="dxa"/>
              <w:bottom w:w="100" w:type="dxa"/>
              <w:left w:w="120" w:type="dxa"/>
              <w:right w:w="120" w:type="dxa"/>
            </w:tcMar>
            <w:vAlign w:val="center"/>
          </w:tcPr>
          <w:p>
            <w:r>
              <w:rPr>
                <w:b/>
              </w:rPr>
              <w:t>CONCLUSION</w:t>
              <w:br/>
              <w:t>3.1 Conclusion</w:t>
            </w:r>
          </w:p>
        </w:tc>
        <w:tc>
          <w:tcPr>
            <w:tcW w:type="dxa" w:w="3120"/>
            <w:tcMar>
              <w:top w:w="100" w:type="dxa"/>
              <w:bottom w:w="100" w:type="dxa"/>
              <w:left w:w="120" w:type="dxa"/>
              <w:right w:w="120" w:type="dxa"/>
            </w:tcMar>
            <w:vAlign w:val="center"/>
          </w:tcPr>
          <w:p>
            <w:r>
              <w:t>25</w:t>
            </w:r>
          </w:p>
        </w:tc>
      </w:tr>
      <w:tr>
        <w:tc>
          <w:tcPr>
            <w:tcW w:type="dxa" w:w="1152"/>
            <w:tcMar>
              <w:top w:w="100" w:type="dxa"/>
              <w:bottom w:w="100" w:type="dxa"/>
              <w:left w:w="120" w:type="dxa"/>
              <w:right w:w="120" w:type="dxa"/>
            </w:tcMar>
          </w:tcPr>
          <w:p>
            <w:r>
              <w:rPr>
                <w:b/>
              </w:rPr>
            </w:r>
          </w:p>
        </w:tc>
        <w:tc>
          <w:tcPr>
            <w:tcW w:type="dxa" w:w="6480"/>
            <w:tcMar>
              <w:top w:w="100" w:type="dxa"/>
              <w:bottom w:w="100" w:type="dxa"/>
              <w:left w:w="120" w:type="dxa"/>
              <w:right w:w="120" w:type="dxa"/>
            </w:tcMar>
          </w:tcPr>
          <w:p>
            <w:r>
              <w:rPr>
                <w:b/>
              </w:rPr>
              <w:t>REFERENCES</w:t>
            </w:r>
          </w:p>
        </w:tc>
        <w:tc>
          <w:tcPr>
            <w:tcW w:type="dxa" w:w="1728"/>
            <w:tcMar>
              <w:top w:w="100" w:type="dxa"/>
              <w:bottom w:w="100" w:type="dxa"/>
              <w:left w:w="120" w:type="dxa"/>
              <w:right w:w="120" w:type="dxa"/>
            </w:tcMar>
          </w:tcPr>
          <w:p>
            <w:r>
              <w:rPr>
                <w:b/>
              </w:rPr>
              <w:t>27</w:t>
            </w:r>
          </w:p>
        </w:tc>
      </w:tr>
    </w:tbl>
    <w:p>
      <w:r>
        <w:br w:type="page"/>
      </w:r>
    </w:p>
    <w:p>
      <w:pPr>
        <w:pStyle w:val="Heading1"/>
        <w:spacing w:before="240" w:after="240"/>
      </w:pPr>
      <w:r>
        <w:rPr>
          <w:color w:val="0F172A"/>
          <w:sz w:val="32"/>
        </w:rPr>
        <w:t>1. INTRODUCTION</w:t>
      </w:r>
    </w:p>
    <w:p>
      <w:pPr>
        <w:spacing w:line="312" w:lineRule="auto" w:after="200"/>
      </w:pPr>
      <w:r>
        <w:t>Modern academic and enterprise environments are witnessing a rapid paradigm shift in infrastructure hosting. Traditionally, higher education institutions relied entirely on on-premises enterprise data centers to host student portals, financial records, learning management platforms, and departmental research repositories. In these legacy setups, all compute, storage, and networking hardware were housed inside physical campus server rooms protected by edge perimeter firewalls.</w:t>
      </w:r>
    </w:p>
    <w:p>
      <w:pPr>
        <w:spacing w:line="312" w:lineRule="auto" w:after="200"/>
      </w:pPr>
      <w:r>
        <w:t>Over the past decade, the rapid growth of student populations, high-concurrency online examinations, cloud-native pedagogical tools, and compute-heavy scientific research (such as genomics sequencing, artificial intelligence model training, and big data analytics) forced institutions to adopt public cloud platforms (e.g., Amazon Web Services, Microsoft Azure, Google Cloud Platform). Public clouds offer elastic scaling, high availability, managed container orchestration services (such as AWS EKS, Azure AKS, and Google GKE), and automated disaster recovery.</w:t>
      </w:r>
    </w:p>
    <w:p>
      <w:pPr>
        <w:spacing w:line="312" w:lineRule="auto" w:after="200"/>
      </w:pPr>
      <w:r>
        <w:t>However, completely abandoning on-premises infrastructure is neither legally permissible nor cost-effective for universities. Confidential records—including Student Information Systems (SIS), proprietary academic intellectual property, student biometric data, and core Oracle/SQL database repositories—must remain strictly under institutional physical custody to satisfy regulatory compliance (e.g., FERPA, GDPR, ISO 27001).</w:t>
      </w:r>
    </w:p>
    <w:p>
      <w:pPr>
        <w:spacing w:line="312" w:lineRule="auto" w:after="280"/>
      </w:pPr>
      <w:r>
        <w:t>Consequently, the institution has adopted a Hybrid Enterprise Data Center Model where on-premises OpenShift clusters and Oracle databases are tightly integrated with cloud-native AWS EKS container microservices over high-speed encrypted transit links.</w:t>
      </w:r>
    </w:p>
    <w:p>
      <w:pPr>
        <w:pStyle w:val="Heading2"/>
        <w:spacing w:before="280" w:after="160"/>
      </w:pPr>
      <w:r>
        <w:rPr>
          <w:color w:val="0284C7"/>
        </w:rPr>
        <w:t>1.1 Problem Definition</w:t>
      </w:r>
    </w:p>
    <w:p>
      <w:pPr>
        <w:spacing w:line="312" w:lineRule="auto" w:after="200"/>
      </w:pPr>
      <w:r>
        <w:t>Following the comprehensive cybersecurity audit conducted in Part 1, the College IT Department has formally invited the cybersecurity engineering team to design and implement a secure hybrid datacenter network architecture. The environment presents several complex, interrelated operational and security challenges:</w:t>
      </w:r>
    </w:p>
    <w:p>
      <w:pPr>
        <w:pStyle w:val="ListBullet"/>
        <w:spacing w:line="300" w:lineRule="auto" w:after="80"/>
      </w:pPr>
      <w:r>
        <w:rPr>
          <w:b/>
        </w:rPr>
        <w:t xml:space="preserve">Data in Transit Security: </w:t>
      </w:r>
      <w:r>
        <w:t>Sensitive student and research records continuously exit the private data center to reach public cloud microservices over public carrier pathways, exposing packets to eavesdropping and manipulation.</w:t>
      </w:r>
    </w:p>
    <w:p>
      <w:pPr>
        <w:pStyle w:val="ListBullet"/>
        <w:spacing w:line="300" w:lineRule="auto" w:after="80"/>
      </w:pPr>
      <w:r>
        <w:rPr>
          <w:b/>
        </w:rPr>
        <w:t xml:space="preserve">Identity &amp; Access Management (IAM): </w:t>
      </w:r>
      <w:r>
        <w:t>Legacy systems rely on hardcoded static API keys and wide service accounts. A compromise of a developer workstation grants persistent access across both cloud and on-premises tiers.</w:t>
      </w:r>
    </w:p>
    <w:p>
      <w:pPr>
        <w:pStyle w:val="ListBullet"/>
        <w:spacing w:line="300" w:lineRule="auto" w:after="80"/>
      </w:pPr>
      <w:r>
        <w:rPr>
          <w:b/>
        </w:rPr>
        <w:t xml:space="preserve">VPC Segmentation &amp; Blast Radius: </w:t>
      </w:r>
      <w:r>
        <w:t>Flat VPC peering allows compromised web applications in one VPC to laterally pivot into adjacent research VPCs or into the campus core database.</w:t>
      </w:r>
    </w:p>
    <w:p>
      <w:pPr>
        <w:pStyle w:val="ListBullet"/>
        <w:spacing w:line="300" w:lineRule="auto" w:after="80"/>
      </w:pPr>
      <w:r>
        <w:rPr>
          <w:b/>
        </w:rPr>
        <w:t xml:space="preserve">Security Group Engineering: </w:t>
      </w:r>
      <w:r>
        <w:t>Traditional firewalls rely on broad static CIDRs (e.g., Allow 10.0.0.0/8). In autoscaling container environments, static IP filtering causes rule sprawl and over-permissive access.</w:t>
      </w:r>
    </w:p>
    <w:p>
      <w:pPr>
        <w:pStyle w:val="ListBullet"/>
        <w:spacing w:line="300" w:lineRule="auto" w:after="80"/>
      </w:pPr>
      <w:r>
        <w:rPr>
          <w:b/>
        </w:rPr>
        <w:t xml:space="preserve">Kubernetes Microservices Security: </w:t>
      </w:r>
      <w:r>
        <w:t>Workloads spanning OpenShift and cloud EKS require kernel-level micro-segmentation, admission policy enforcement (disallowing root containers), and runtime threat detection.</w:t>
      </w:r>
    </w:p>
    <w:p>
      <w:pPr>
        <w:pStyle w:val="ListBullet"/>
        <w:spacing w:line="300" w:lineRule="auto" w:after="80"/>
      </w:pPr>
      <w:r>
        <w:rPr>
          <w:b/>
        </w:rPr>
        <w:t xml:space="preserve">Faculty Remote Access: </w:t>
      </w:r>
      <w:r>
        <w:t>Faculty members and researchers work flexibly from campus, home, and fieldwork sites. They require uninterrupted, secure access to high-sensitivity research repositories without wide-open VPN trust.</w:t>
      </w:r>
    </w:p>
    <w:p>
      <w:pPr>
        <w:pStyle w:val="ListBullet"/>
        <w:spacing w:line="300" w:lineRule="auto" w:after="80"/>
      </w:pPr>
      <w:r>
        <w:rPr>
          <w:b/>
        </w:rPr>
        <w:t xml:space="preserve">Balancing Simplicity, Security, and Scale: </w:t>
      </w:r>
      <w:r>
        <w:t>Security controls must not overwhelm existing network infrastructure, introduce latency, or create administrative bottlenecks that impede developer productivity.</w:t>
      </w:r>
    </w:p>
    <w:p>
      <w:r>
        <w:br w:type="page"/>
      </w:r>
    </w:p>
    <w:p>
      <w:pPr>
        <w:pStyle w:val="Heading1"/>
        <w:spacing w:before="240" w:after="240"/>
      </w:pPr>
      <w:r>
        <w:rPr>
          <w:color w:val="0F172A"/>
          <w:sz w:val="32"/>
        </w:rPr>
        <w:t>2. SOLUTION</w:t>
      </w:r>
    </w:p>
    <w:p>
      <w:pPr>
        <w:pStyle w:val="Heading2"/>
        <w:spacing w:before="200" w:after="160"/>
      </w:pPr>
      <w:r>
        <w:rPr>
          <w:color w:val="0284C7"/>
        </w:rPr>
        <w:t>2.1 Introduction</w:t>
      </w:r>
    </w:p>
    <w:p>
      <w:pPr>
        <w:spacing w:line="312" w:lineRule="auto" w:after="200"/>
      </w:pPr>
      <w:r>
        <w:t>To solve the complex cybersecurity challenges identified in the problem definition, this report presents a comprehensive, multi-tiered Zero-Trust Hybrid Datacenter Network Architecture. The fundamental philosophy of Zero Trust—formalized in NIST Special Publication 800-207—is governed by the principle: “Never Trust, Always Verify”.</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Pr>
          <w:p>
            <w:pPr>
              <w:spacing w:before="40" w:after="80"/>
            </w:pPr>
            <w:r>
              <w:rPr>
                <w:rFonts w:ascii="Calibri" w:hAnsi="Calibri"/>
                <w:b/>
                <w:color w:val="0284C7"/>
                <w:sz w:val="21"/>
              </w:rPr>
              <w:t>■ CORE ZERO-TRUST HYBRID PRINCIPLE</w:t>
              <w:br/>
            </w:r>
            <w:r>
              <w:rPr>
                <w:rFonts w:ascii="Calibri" w:hAnsi="Calibri"/>
                <w:color w:val="1E293B"/>
                <w:sz w:val="20"/>
              </w:rPr>
              <w:t>Physical network location confers zero implicit trust. Every interaction, microservice API call, and database transaction must be explicitly authenticated, contextually evaluated against device health and MFA, authorized with least privilege, and end-to-end encrypted.</w:t>
            </w:r>
          </w:p>
        </w:tc>
      </w:tr>
    </w:tbl>
    <w:p>
      <w:pPr>
        <w:spacing w:after="120"/>
      </w:pPr>
    </w:p>
    <w:p>
      <w:pPr>
        <w:pStyle w:val="Heading2"/>
        <w:spacing w:before="280" w:after="160"/>
      </w:pPr>
      <w:r>
        <w:rPr>
          <w:color w:val="0284C7"/>
        </w:rPr>
        <w:t>2.2 Security Diagram of the Organization</w:t>
      </w:r>
    </w:p>
    <w:p>
      <w:pPr>
        <w:spacing w:line="312" w:lineRule="auto" w:after="200"/>
      </w:pPr>
      <w:r>
        <w:t>The end-to-end organizational security topology is structured into four distinct security boundaries: 1) Context-Aware ZTNA Remote Access Tier, 2) Public Cloud Hub-and-Spoke Infrastructure (AWS Transit Gateway &amp; Central Inspection), 3) Hardware-Encrypted Transport Layer (MACsec Direct Connect &amp; IPsec), and 4) Private Enterprise Data Center (OpenShift &amp; Core DBs).</w:t>
      </w:r>
    </w:p>
    <w:p>
      <w:pPr>
        <w:pStyle w:val="Heading2"/>
        <w:spacing w:before="280" w:after="160"/>
      </w:pPr>
      <w:r>
        <w:rPr>
          <w:color w:val="0284C7"/>
        </w:rPr>
        <w:t>2.3 Screen shot of activity from Cisco Packet Tracer Software</w:t>
      </w:r>
    </w:p>
    <w:p>
      <w:pPr>
        <w:spacing w:line="312" w:lineRule="auto" w:after="200"/>
      </w:pPr>
      <w:r>
        <w:t>To validate the architectural design, verify firewall policies, and simulate live cyber-attack scenarios, the hybrid network was implemented in Cisco Packet Tracer and executed through an automated Python Security Simulation Engine (`main.py`). Below are the active implementation screenshots and detailed technical explanations for each activity:</w:t>
      </w:r>
    </w:p>
    <w:p>
      <w:pPr>
        <w:spacing w:before="160" w:after="80"/>
      </w:pPr>
      <w:r>
        <w:rPr>
          <w:b/>
          <w:color w:val="0284C7"/>
        </w:rPr>
        <w:t>Activity 1: Cisco Packet Tracer Network Topology Configuration</w:t>
      </w:r>
    </w:p>
    <w:p>
      <w:pPr>
        <w:spacing w:before="160" w:after="80"/>
        <w:jc w:val="center"/>
      </w:pPr>
      <w:r>
        <w:drawing>
          <wp:inline xmlns:a="http://schemas.openxmlformats.org/drawingml/2006/main" xmlns:pic="http://schemas.openxmlformats.org/drawingml/2006/picture">
            <wp:extent cx="5669280" cy="3212592"/>
            <wp:docPr id="1" name="Picture 1"/>
            <wp:cNvGraphicFramePr>
              <a:graphicFrameLocks noChangeAspect="1"/>
            </wp:cNvGraphicFramePr>
            <a:graphic>
              <a:graphicData uri="http://schemas.openxmlformats.org/drawingml/2006/picture">
                <pic:pic>
                  <pic:nvPicPr>
                    <pic:cNvPr id="0" name="screenshot_1_packet_tracer_topology.png"/>
                    <pic:cNvPicPr/>
                  </pic:nvPicPr>
                  <pic:blipFill>
                    <a:blip r:embed="rId9"/>
                    <a:stretch>
                      <a:fillRect/>
                    </a:stretch>
                  </pic:blipFill>
                  <pic:spPr>
                    <a:xfrm>
                      <a:off x="0" y="0"/>
                      <a:ext cx="5669280" cy="3212592"/>
                    </a:xfrm>
                    <a:prstGeom prst="rect"/>
                  </pic:spPr>
                </pic:pic>
              </a:graphicData>
            </a:graphic>
          </wp:inline>
        </w:drawing>
      </w:r>
    </w:p>
    <w:p>
      <w:pPr>
        <w:spacing w:after="240"/>
        <w:jc w:val="center"/>
      </w:pPr>
      <w:r>
        <w:rPr>
          <w:i/>
          <w:color w:val="475569"/>
          <w:sz w:val="19"/>
        </w:rPr>
        <w:t>Figure 2.3.1: Cisco Packet Tracer Hybrid Network Topology (On-Prem Core, Direct Connect &amp; Cloud TGW)</w:t>
      </w:r>
    </w:p>
    <w:p>
      <w:pPr>
        <w:spacing w:line="300" w:lineRule="auto" w:after="120"/>
      </w:pPr>
      <w:r>
        <w:rPr>
          <w:b/>
        </w:rPr>
        <w:t>Technical Explanation of Screenshot 1:</w:t>
        <w:br/>
      </w:r>
      <w:r>
        <w:t>• Network Partitioning Across 3 Zones: The topology partitions the enterprise into Zone 1 (On-Premises Data Center with OpenShift and Oracle DB), Zone 2 (Hardware-Encrypted Hybrid Transit with MACsec Direct Connect), and Zone 3 (Public Cloud AWS EKS Compute Nodes and ZTNA-verified clients).</w:t>
        <w:br/>
        <w:t>• Dual-Perimeter Security: Demonstrates edge protection through the hardware Cisco ASA 5585-X Firewall on-premises and AWS Gateway Load Balancers in the cloud. Green link indicator LEDs verify physical and data-link layer continuity across all hybrid interfaces.</w:t>
      </w:r>
    </w:p>
    <w:p>
      <w:pPr>
        <w:spacing w:before="200" w:after="80"/>
      </w:pPr>
      <w:r>
        <w:rPr>
          <w:b/>
          <w:color w:val="0284C7"/>
        </w:rPr>
        <w:t>Activity 2: Cisco IOS Edge Router &amp; Cisco ASA Firewall CLI Configuration</w:t>
      </w:r>
    </w:p>
    <w:p>
      <w:pPr>
        <w:spacing w:before="160" w:after="80"/>
        <w:jc w:val="center"/>
      </w:pPr>
      <w:r>
        <w:drawing>
          <wp:inline xmlns:a="http://schemas.openxmlformats.org/drawingml/2006/main" xmlns:pic="http://schemas.openxmlformats.org/drawingml/2006/picture">
            <wp:extent cx="5669280" cy="3298490"/>
            <wp:docPr id="2" name="Picture 2"/>
            <wp:cNvGraphicFramePr>
              <a:graphicFrameLocks noChangeAspect="1"/>
            </wp:cNvGraphicFramePr>
            <a:graphic>
              <a:graphicData uri="http://schemas.openxmlformats.org/drawingml/2006/picture">
                <pic:pic>
                  <pic:nvPicPr>
                    <pic:cNvPr id="0" name="screenshot_2_cisco_cli_configuration.png"/>
                    <pic:cNvPicPr/>
                  </pic:nvPicPr>
                  <pic:blipFill>
                    <a:blip r:embed="rId10"/>
                    <a:stretch>
                      <a:fillRect/>
                    </a:stretch>
                  </pic:blipFill>
                  <pic:spPr>
                    <a:xfrm>
                      <a:off x="0" y="0"/>
                      <a:ext cx="5669280" cy="3298490"/>
                    </a:xfrm>
                    <a:prstGeom prst="rect"/>
                  </pic:spPr>
                </pic:pic>
              </a:graphicData>
            </a:graphic>
          </wp:inline>
        </w:drawing>
      </w:r>
    </w:p>
    <w:p>
      <w:pPr>
        <w:spacing w:after="240"/>
        <w:jc w:val="center"/>
      </w:pPr>
      <w:r>
        <w:rPr>
          <w:i/>
          <w:color w:val="475569"/>
          <w:sz w:val="19"/>
        </w:rPr>
        <w:t>Figure 2.3.2: Cisco IOS-XE BGP Direct Connect &amp; Cisco ASA Firewall ACL CLI Status</w:t>
      </w:r>
    </w:p>
    <w:p>
      <w:pPr>
        <w:spacing w:line="300" w:lineRule="auto" w:after="120"/>
      </w:pPr>
      <w:r>
        <w:rPr>
          <w:b/>
        </w:rPr>
        <w:t>Technical Explanation of Screenshot 2:</w:t>
        <w:br/>
      </w:r>
      <w:r>
        <w:t>• BGP Routing &amp; Hardware Encryption: Confirms active BGP session between AS 65000 (Campus Edge Router) and AS 64512 (AWS Transit Gateway) over interface TenGigabitEthernet0/0/0 with IEEE 802.1AE MACsec hardware encryption enabled.</w:t>
        <w:br/>
        <w:t>• Firewall Access-List Hit Counts: Cisco ASA show access-list DB_ISOLATION_ACL logs confirm that authorized cloud LMS queries are permitted (hitcnt=14209), internal OpenShift queries are allowed (hitcnt=8932), while unauthorized direct database access attempts are strictly dropped and logged (hitcnt=418).</w:t>
      </w:r>
    </w:p>
    <w:p>
      <w:pPr>
        <w:spacing w:before="200" w:after="80"/>
      </w:pPr>
      <w:r>
        <w:rPr>
          <w:b/>
          <w:color w:val="0284C7"/>
        </w:rPr>
        <w:t>Activity 3: Execution of Automated Security Simulation Test Suite (8 Attack Scenarios)</w:t>
      </w:r>
    </w:p>
    <w:p>
      <w:pPr>
        <w:spacing w:before="160" w:after="80"/>
        <w:jc w:val="center"/>
      </w:pPr>
      <w:r>
        <w:drawing>
          <wp:inline xmlns:a="http://schemas.openxmlformats.org/drawingml/2006/main" xmlns:pic="http://schemas.openxmlformats.org/drawingml/2006/picture">
            <wp:extent cx="5669280" cy="3504646"/>
            <wp:docPr id="3" name="Picture 3"/>
            <wp:cNvGraphicFramePr>
              <a:graphicFrameLocks noChangeAspect="1"/>
            </wp:cNvGraphicFramePr>
            <a:graphic>
              <a:graphicData uri="http://schemas.openxmlformats.org/drawingml/2006/picture">
                <pic:pic>
                  <pic:nvPicPr>
                    <pic:cNvPr id="0" name="screenshot_3_vscode_terminal_test_suite.png"/>
                    <pic:cNvPicPr/>
                  </pic:nvPicPr>
                  <pic:blipFill>
                    <a:blip r:embed="rId11"/>
                    <a:stretch>
                      <a:fillRect/>
                    </a:stretch>
                  </pic:blipFill>
                  <pic:spPr>
                    <a:xfrm>
                      <a:off x="0" y="0"/>
                      <a:ext cx="5669280" cy="3504646"/>
                    </a:xfrm>
                    <a:prstGeom prst="rect"/>
                  </pic:spPr>
                </pic:pic>
              </a:graphicData>
            </a:graphic>
          </wp:inline>
        </w:drawing>
      </w:r>
    </w:p>
    <w:p>
      <w:pPr>
        <w:spacing w:after="240"/>
        <w:jc w:val="center"/>
      </w:pPr>
      <w:r>
        <w:rPr>
          <w:i/>
          <w:color w:val="475569"/>
          <w:sz w:val="19"/>
        </w:rPr>
        <w:t>Figure 2.3.3: Terminal Test Suite Output: 100% Defense Verification Across All 8 Scenarios</w:t>
      </w:r>
    </w:p>
    <w:p>
      <w:pPr>
        <w:spacing w:line="300" w:lineRule="auto" w:after="120"/>
      </w:pPr>
      <w:r>
        <w:rPr>
          <w:b/>
        </w:rPr>
        <w:t>Technical Explanation of Screenshot 3:</w:t>
        <w:br/>
      </w:r>
      <w:r>
        <w:t>• Multi-Layer Defense Verification: Proves deterministic defense-in-depth across 8 distinct attack vectors, including ZTNA device posture drops, spoke-to-spoke lateral movement blocks, ransomware C2 exfiltration drops at the Central NGFW, and database perimeter isolation.</w:t>
        <w:br/>
        <w:t>• Kubernetes Admission &amp; Runtime Threat Detection: Verifies that unhardened root pod manifests are rejected by Kyverno admission controllers, and runtime syscall breakouts (spawn_shell) are intercepted and quarantined by Falco eBPF kernel probes with a 100% pass rate.</w:t>
      </w:r>
    </w:p>
    <w:p>
      <w:pPr>
        <w:spacing w:before="200" w:after="80"/>
      </w:pPr>
      <w:r>
        <w:rPr>
          <w:b/>
          <w:color w:val="0284C7"/>
        </w:rPr>
        <w:t>Activity 4: Interactive Web Dashboard &amp; Real-Time SIEM Event Stream</w:t>
      </w:r>
    </w:p>
    <w:p>
      <w:pPr>
        <w:spacing w:before="160" w:after="80"/>
        <w:jc w:val="center"/>
      </w:pPr>
      <w:r>
        <w:drawing>
          <wp:inline xmlns:a="http://schemas.openxmlformats.org/drawingml/2006/main" xmlns:pic="http://schemas.openxmlformats.org/drawingml/2006/picture">
            <wp:extent cx="5669280" cy="3307080"/>
            <wp:docPr id="4" name="Picture 4"/>
            <wp:cNvGraphicFramePr>
              <a:graphicFrameLocks noChangeAspect="1"/>
            </wp:cNvGraphicFramePr>
            <a:graphic>
              <a:graphicData uri="http://schemas.openxmlformats.org/drawingml/2006/picture">
                <pic:pic>
                  <pic:nvPicPr>
                    <pic:cNvPr id="0" name="screenshot_4_secops_web_dashboard.png"/>
                    <pic:cNvPicPr/>
                  </pic:nvPicPr>
                  <pic:blipFill>
                    <a:blip r:embed="rId12"/>
                    <a:stretch>
                      <a:fillRect/>
                    </a:stretch>
                  </pic:blipFill>
                  <pic:spPr>
                    <a:xfrm>
                      <a:off x="0" y="0"/>
                      <a:ext cx="5669280" cy="3307080"/>
                    </a:xfrm>
                    <a:prstGeom prst="rect"/>
                  </pic:spPr>
                </pic:pic>
              </a:graphicData>
            </a:graphic>
          </wp:inline>
        </w:drawing>
      </w:r>
    </w:p>
    <w:p>
      <w:pPr>
        <w:spacing w:after="240"/>
        <w:jc w:val="center"/>
      </w:pPr>
      <w:r>
        <w:rPr>
          <w:i/>
          <w:color w:val="475569"/>
          <w:sz w:val="19"/>
        </w:rPr>
        <w:t>Figure 2.3.4: Interactive SecOps Web Dashboard (http://127.0.0.1:8080) with Real-Time SIEM Logs</w:t>
      </w:r>
    </w:p>
    <w:p>
      <w:pPr>
        <w:spacing w:line="300" w:lineRule="auto" w:after="160"/>
      </w:pPr>
      <w:r>
        <w:rPr>
          <w:b/>
        </w:rPr>
        <w:t>Technical Explanation of Screenshot 4:</w:t>
        <w:br/>
      </w:r>
      <w:r>
        <w:t>• Single-Pane-of-Glass SecOps Telemetry: Displays the live management dashboard on http://127.0.0.1:8080. Analysts can trigger live attack scenarios and view end-to-end packet traversal traces across ZTNA, TGW, NGFW, and Security Groups in real time.</w:t>
        <w:br/>
        <w:t>• Real-Time SIEM Stream: The bottom audit table ingests and categorizes security events (Action, Stage, Source, Destination, Alert Level), enabling automated SOAR incident response playbooks to immediately isolate compromised nodes.</w:t>
      </w:r>
    </w:p>
    <w:p>
      <w:pPr>
        <w:pStyle w:val="Heading2"/>
        <w:spacing w:before="280" w:after="160"/>
      </w:pPr>
      <w:r>
        <w:rPr>
          <w:color w:val="0284C7"/>
        </w:rPr>
        <w:t>2.4 Explanation of Vulnerability in the network</w:t>
      </w:r>
    </w:p>
    <w:p>
      <w:pPr>
        <w:spacing w:line="312" w:lineRule="auto" w:after="200"/>
      </w:pPr>
      <w:r>
        <w:t>To establish a foundation for the security design, this section details the ten critical vulnerabilities inherent in traditional hybrid datacenter networks:</w:t>
      </w:r>
    </w:p>
    <w:p>
      <w:pPr>
        <w:spacing w:line="300" w:lineRule="auto" w:after="120"/>
      </w:pPr>
      <w:r>
        <w:rPr>
          <w:b/>
          <w:color w:val="0F172A"/>
        </w:rPr>
        <w:t>1. Flat Network Topologies &amp; Lateral Movement</w:t>
        <w:br/>
      </w:r>
      <w:r>
        <w:t>In traditional setups, once an asset resides inside the private network boundary, it is treated as implicitly trusted. Wide routing tables allow an attacker who compromises a public web container to perform network scans and laterally compromise database servers in adjacent VPCs or on-premises.</w:t>
      </w:r>
    </w:p>
    <w:p>
      <w:pPr>
        <w:spacing w:line="300" w:lineRule="auto" w:after="120"/>
      </w:pPr>
      <w:r>
        <w:rPr>
          <w:b/>
          <w:color w:val="0F172A"/>
        </w:rPr>
        <w:t>2. Static IAM Credential Proliferation &amp; Leakage</w:t>
        <w:br/>
      </w:r>
      <w:r>
        <w:t>Developers frequently hardcode permanent IAM access keys (AWS_ACCESS_KEY_ID) into configuration files or Git repositories. Leaked static keys grant permanent administrative access from anywhere in the world.</w:t>
      </w:r>
    </w:p>
    <w:p>
      <w:pPr>
        <w:spacing w:line="300" w:lineRule="auto" w:after="120"/>
      </w:pPr>
      <w:r>
        <w:rPr>
          <w:b/>
          <w:color w:val="0F172A"/>
        </w:rPr>
        <w:t>3. Insecure Remote Access via Legacy Client VPNs</w:t>
        <w:br/>
      </w:r>
      <w:r>
        <w:t>Legacy VPNs assign remote users a virtual IP directly on the campus subnet. Malware on an unmanaged personal computer can cross the VPN tunnel and infect core server infrastructure.</w:t>
      </w:r>
    </w:p>
    <w:p>
      <w:pPr>
        <w:spacing w:line="300" w:lineRule="auto" w:after="120"/>
      </w:pPr>
      <w:r>
        <w:rPr>
          <w:b/>
          <w:color w:val="0F172A"/>
        </w:rPr>
        <w:t>4. Over-Permissive Security Groups &amp; CIDR Sprawl</w:t>
        <w:br/>
      </w:r>
      <w:r>
        <w:t>Broad Security Group rules (e.g., Allow TCP 5432 from 10.0.0.0/8) allow any rogue container or compromised instance in the IP range to access database listeners directly.</w:t>
      </w:r>
    </w:p>
    <w:p>
      <w:pPr>
        <w:spacing w:line="300" w:lineRule="auto" w:after="120"/>
      </w:pPr>
      <w:r>
        <w:rPr>
          <w:b/>
          <w:color w:val="0F172A"/>
        </w:rPr>
        <w:t>5. Unrestricted Outbound Egress &amp; Data Exfiltration</w:t>
        <w:br/>
      </w:r>
      <w:r>
        <w:t>Outbound egress from compute nodes is often configured as Allow All (0.0.0.0/0) via NAT Gateways, allowing ransomware to exfiltrate proprietary research to external Command and Control (C2) servers.</w:t>
      </w:r>
    </w:p>
    <w:p>
      <w:pPr>
        <w:spacing w:line="300" w:lineRule="auto" w:after="120"/>
      </w:pPr>
      <w:r>
        <w:rPr>
          <w:b/>
          <w:color w:val="0F172A"/>
        </w:rPr>
        <w:t>6. Over-Privileged Container Execution (Root UID)</w:t>
        <w:br/>
      </w:r>
      <w:r>
        <w:t>Unhardened Kubernetes pods running as root (UID 0) or with privileged: true can escape container boundaries and gain full control over the underlying physical worker node.</w:t>
      </w:r>
    </w:p>
    <w:p>
      <w:pPr>
        <w:spacing w:line="300" w:lineRule="auto" w:after="120"/>
      </w:pPr>
      <w:r>
        <w:rPr>
          <w:b/>
          <w:color w:val="0F172A"/>
        </w:rPr>
        <w:t>7. Unmonitored Container Runtime Behavior</w:t>
        <w:br/>
      </w:r>
      <w:r>
        <w:t>Traditional host-based EDR tools lack visibility into ephemeral container namespaces, allowing interactive shell spawns (/bin/sh) to remain undetected.</w:t>
      </w:r>
    </w:p>
    <w:p>
      <w:pPr>
        <w:spacing w:line="300" w:lineRule="auto" w:after="120"/>
      </w:pPr>
      <w:r>
        <w:rPr>
          <w:b/>
          <w:color w:val="0F172A"/>
        </w:rPr>
        <w:t>8. MITM Eavesdropping on Hybrid Transit Links</w:t>
        <w:br/>
      </w:r>
      <w:r>
        <w:t>Data traversing public or shared carrier links without Layer 2/3 hardware encryption is susceptible to physical tapping and packet sniffing.</w:t>
      </w:r>
    </w:p>
    <w:p>
      <w:pPr>
        <w:spacing w:line="300" w:lineRule="auto" w:after="120"/>
      </w:pPr>
      <w:r>
        <w:rPr>
          <w:b/>
          <w:color w:val="0F172A"/>
        </w:rPr>
        <w:t>9. Point-to-Point VPC Peering Mesh Degradation</w:t>
        <w:br/>
      </w:r>
      <w:r>
        <w:t>Connecting N VPCs with direct peering creates an O(N^2) mesh that overwhelms routing tables and obscures traffic visibility.</w:t>
      </w:r>
    </w:p>
    <w:p>
      <w:pPr>
        <w:spacing w:line="300" w:lineRule="auto" w:after="120"/>
      </w:pPr>
      <w:r>
        <w:rPr>
          <w:b/>
          <w:color w:val="0F172A"/>
        </w:rPr>
        <w:t>10. Standing Administrative Privileges (No PAM / JIT)</w:t>
        <w:br/>
      </w:r>
      <w:r>
        <w:t>Permanent administrator rights mean that a compromised engineer credential allows attackers to delete backups and alter security policies.</w:t>
      </w:r>
    </w:p>
    <w:p>
      <w:pPr>
        <w:pStyle w:val="Heading2"/>
        <w:spacing w:before="280" w:after="160"/>
      </w:pPr>
      <w:r>
        <w:rPr>
          <w:color w:val="0284C7"/>
        </w:rPr>
        <w:t>2.5 Suggestions of Securing the Network</w:t>
      </w:r>
    </w:p>
    <w:p>
      <w:pPr>
        <w:spacing w:line="312" w:lineRule="auto" w:after="200"/>
      </w:pPr>
      <w:r>
        <w:t>To remediate all identified vulnerabilities, the proposed architecture implements a defense-in-depth framework across six technical pillars:</w:t>
      </w:r>
    </w:p>
    <w:p>
      <w:pPr>
        <w:spacing w:line="300" w:lineRule="auto" w:after="120"/>
      </w:pPr>
      <w:r>
        <w:rPr>
          <w:b/>
          <w:color w:val="0284C7"/>
        </w:rPr>
        <w:t>1. Context-Aware Zero Trust Network Access (ZTNA)</w:t>
        <w:br/>
      </w:r>
      <w:r>
        <w:t>Deploys AWS Verified Access integrated with university IdPs (Entra ID/Okta). Grants access based on FIDO2 phishing-resistant MFA, continuous device health checks (BitLocker active, CrowdStrike EDR healthy), and impossible travel velocity analysis. Issues short-lived (15-min) reverse-proxy session tokens without assigning network-level IP addresses.</w:t>
      </w:r>
    </w:p>
    <w:p>
      <w:pPr>
        <w:spacing w:line="300" w:lineRule="auto" w:after="120"/>
      </w:pPr>
      <w:r>
        <w:rPr>
          <w:b/>
          <w:color w:val="0284C7"/>
        </w:rPr>
        <w:t>2. Ephemeral Workload Identity Federation (IRSA &amp; SPIFFE/SPIRE)</w:t>
        <w:br/>
      </w:r>
      <w:r>
        <w:t>Permanently disables static IAM keys. Implements AWS IAM Roles for Service Accounts (IRSA), minting short-lived (30-min) STS tokens projected into pod memory. Employs SPIFFE/SPIRE and HashiCorp Vault to dynamically issue short-lived X.509 certificates for mutual TLS (mTLS) between on-prem OpenShift and cloud EKS microservices.</w:t>
      </w:r>
    </w:p>
    <w:p>
      <w:pPr>
        <w:spacing w:line="300" w:lineRule="auto" w:after="120"/>
      </w:pPr>
      <w:r>
        <w:rPr>
          <w:b/>
          <w:color w:val="0284C7"/>
        </w:rPr>
        <w:t>3. Non-Transitive Hub-and-Spoke Routing via AWS Transit Gateway</w:t>
        <w:br/>
      </w:r>
      <w:r>
        <w:t>Operates dedicated Transit Gateway Route Tables (RT-Spokes, RT-Inspection, RT-OnPrem). Drops direct Spoke-to-Spoke routing and forces all east-west and hybrid packets through a Central Inspection VPC equipped with Next-Gen Firewalls (GWLB) for Deep Packet Inspection and TLS decryption.</w:t>
      </w:r>
    </w:p>
    <w:p>
      <w:pPr>
        <w:spacing w:line="300" w:lineRule="auto" w:after="120"/>
      </w:pPr>
      <w:r>
        <w:rPr>
          <w:b/>
          <w:color w:val="0284C7"/>
        </w:rPr>
        <w:t>4. Stateful Security Group Chaining &amp; 4-Tier Subnet Topology</w:t>
        <w:br/>
      </w:r>
      <w:r>
        <w:t>Enforces 4-tier subnets (ALB, Compute, Database, PrivateLink Endpoints). Implements Security Group referencing chains (sg-ingress-alb -&gt; sg-lms-k8s-nodes -&gt; sg-lms-aurora-db) and enforces STRICTLY ZERO EGRESS on database tiers to prevent data exfiltration.</w:t>
      </w:r>
    </w:p>
    <w:p>
      <w:pPr>
        <w:spacing w:line="300" w:lineRule="auto" w:after="120"/>
      </w:pPr>
      <w:r>
        <w:rPr>
          <w:b/>
          <w:color w:val="0284C7"/>
        </w:rPr>
        <w:t>5. Kubernetes Kernel Microsegmentation (Cilium eBPF, Kyverno &amp; Falco)</w:t>
        <w:br/>
      </w:r>
      <w:r>
        <w:t>Enforces default-deny Layer 7 HTTP path filtering via Cilium eBPF bytecode. Rejects unhardened root/privileged pods via Kyverno admission policies. Detects runtime syscall anomalies (e.g., shell spawns) via Falco eBPF kernel probes, triggering automated pod isolation.</w:t>
      </w:r>
    </w:p>
    <w:p>
      <w:pPr>
        <w:spacing w:line="300" w:lineRule="auto" w:after="120"/>
      </w:pPr>
      <w:r>
        <w:rPr>
          <w:b/>
          <w:color w:val="0284C7"/>
        </w:rPr>
        <w:t>6. Operational Scalability &amp; GitOps VPC Vending Machine</w:t>
        <w:br/>
      </w:r>
      <w:r>
        <w:t>Provides automated Terraform / OpenTofu modules that vend pre-configured Spoke VPCs, subnets, route tables, and least-privilege security groups in under 5 minutes. Incorporates shift-left security linting (Checkov/tfsec) and centralized SIEM log streaming.</w:t>
      </w:r>
    </w:p>
    <w:p>
      <w:r>
        <w:br w:type="page"/>
      </w:r>
    </w:p>
    <w:p>
      <w:pPr>
        <w:pStyle w:val="Heading1"/>
        <w:spacing w:before="240" w:after="240"/>
      </w:pPr>
      <w:r>
        <w:rPr>
          <w:color w:val="0F172A"/>
          <w:sz w:val="32"/>
        </w:rPr>
        <w:t>3. CONCLUSION</w:t>
      </w:r>
    </w:p>
    <w:p>
      <w:pPr>
        <w:pStyle w:val="Heading2"/>
        <w:spacing w:before="200" w:after="160"/>
      </w:pPr>
      <w:r>
        <w:rPr>
          <w:color w:val="0284C7"/>
        </w:rPr>
        <w:t>3.1 Conclusion</w:t>
      </w:r>
    </w:p>
    <w:p>
      <w:pPr>
        <w:spacing w:line="312" w:lineRule="auto" w:after="200"/>
      </w:pPr>
      <w:r>
        <w:t>The rapid digital transformation of higher education institutions and large-scale enterprises has fundamentally rewritten the rules of datacenter networking and cybersecurity engineering. As demonstrated throughout this industry task report, the legacy paradigm of “Castle-and-Moat” perimeter defense—where physical presence on a campus LAN or connection to a flat corporate VPN conveyed implicit trust—is completely obsolete in modern hybrid multi-cloud environments. The migration of high-concurrency student applications, Learning Management Systems, and scientific research workloads to public cloud container platforms (AWS EKS), combined with the necessity of retaining core Student Information Systems (SIS) and relational database clusters (Oracle RAC, SQL Server) within on-premises private datacenters, introduces a dynamic and distributed threat surface.</w:t>
      </w:r>
    </w:p>
    <w:p>
      <w:pPr>
        <w:spacing w:line="312" w:lineRule="auto" w:after="240"/>
      </w:pPr>
      <w:r>
        <w:t>To address the multifaceted problem statements presented by the College IT Department, this project designed, engineered, and empirically validated an end-to-end Zero-Trust Hybrid Datacenter Network Architecture governed by the foundational mandate of NIST Special Publication 800-207: “Never Trust, Always Verify.”</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Pr>
          <w:p>
            <w:pPr>
              <w:spacing w:before="40" w:after="80"/>
            </w:pPr>
            <w:r>
              <w:rPr>
                <w:rFonts w:ascii="Calibri" w:hAnsi="Calibri"/>
                <w:b/>
                <w:color w:val="0284C7"/>
                <w:sz w:val="21"/>
              </w:rPr>
              <w:t>■ COMPREHENSIVE ZERO-TRUST POSTURE SYNTHESIS</w:t>
              <w:br/>
            </w:r>
            <w:r>
              <w:rPr>
                <w:rFonts w:ascii="Calibri" w:hAnsi="Calibri"/>
                <w:color w:val="1E293B"/>
                <w:sz w:val="20"/>
              </w:rPr>
              <w:t>The architecture establishes an unbroken chain of trust spanning Identity (Context-Aware ZTNA + OIDC IRSA), Network Transit (Non-Transitive TGW + MACsec Direct Connect + Central NGFW), Compute Microsegmentation (Cilium eBPF + Kyverno + Falco), and Data Protection (Zero-Egress Database Security Groups).</w:t>
            </w:r>
          </w:p>
        </w:tc>
      </w:tr>
    </w:tbl>
    <w:p>
      <w:pPr>
        <w:spacing w:after="120"/>
      </w:pPr>
    </w:p>
    <w:p>
      <w:pPr>
        <w:spacing w:before="200" w:after="80"/>
      </w:pPr>
      <w:r>
        <w:rPr>
          <w:b/>
          <w:color w:val="0F172A"/>
          <w:sz w:val="24"/>
        </w:rPr>
        <w:t>1. Comprehensive Synthesis of Architectural Achievements</w:t>
      </w:r>
    </w:p>
    <w:p>
      <w:pPr>
        <w:pStyle w:val="ListBullet"/>
        <w:spacing w:line="300" w:lineRule="auto" w:after="80"/>
      </w:pPr>
      <w:r>
        <w:rPr>
          <w:b/>
        </w:rPr>
        <w:t xml:space="preserve">Identity-First Access &amp; Phishing-Resistant Remote Work: </w:t>
      </w:r>
      <w:r>
        <w:t>Replaced vulnerable client VPNs with Context-Aware ZTNA (AWS Verified Access). Remote faculty access requires FIDO2 hardware tokens, BitLocker disk encryption, and active CrowdStrike EDR attestation. Issues short-lived (15-min) reverse-proxy session tokens without assigning raw IP addresses.</w:t>
      </w:r>
    </w:p>
    <w:p>
      <w:pPr>
        <w:pStyle w:val="ListBullet"/>
        <w:spacing w:line="300" w:lineRule="auto" w:after="80"/>
      </w:pPr>
      <w:r>
        <w:rPr>
          <w:b/>
        </w:rPr>
        <w:t xml:space="preserve">Elimination of Static Secrets via Workload Identity Federation: </w:t>
      </w:r>
      <w:r>
        <w:t>Permanently removed hardcoded IAM access keys. Cloud EKS pods utilize AWS IAM Roles for Service Accounts (IRSA), while on-prem OpenShift containers utilize SPIFFE/SPIRE and HashiCorp Vault for short-lived (30-min) STS tokens and mutual TLS (mTLS) X.509 SVID certificates.</w:t>
      </w:r>
    </w:p>
    <w:p>
      <w:pPr>
        <w:pStyle w:val="ListBullet"/>
        <w:spacing w:line="300" w:lineRule="auto" w:after="80"/>
      </w:pPr>
      <w:r>
        <w:rPr>
          <w:b/>
        </w:rPr>
        <w:t xml:space="preserve">Deterministic Network Isolation &amp; Non-Transitive Routing: </w:t>
      </w:r>
      <w:r>
        <w:t>Engineered an AWS Transit Gateway Hub-and-Spoke topology with dedicated route tables. Disables direct spoke-to-spoke routing, rendering lateral movement physically unroutable. Forces all cross-boundary traffic through Central Inspection Next-Gen Firewalls fronted by Gateway Load Balancers (GWLB) for deep packet inspection and TLS decryption.</w:t>
      </w:r>
    </w:p>
    <w:p>
      <w:pPr>
        <w:pStyle w:val="ListBullet"/>
        <w:spacing w:line="300" w:lineRule="auto" w:after="80"/>
      </w:pPr>
      <w:r>
        <w:rPr>
          <w:b/>
        </w:rPr>
        <w:t xml:space="preserve">Stateful Micro-Perimeters &amp; Zero-Egress Database Isolation: </w:t>
      </w:r>
      <w:r>
        <w:t>Enforced 4-tier subnets and security group referencing chains (sg-ingress-alb -&gt; sg-lms-k8s-nodes -&gt; sg-lms-aurora-db). Enforced STRICTLY ZERO EGRESS on database tiers to eliminate data exfiltration pathways.</w:t>
      </w:r>
    </w:p>
    <w:p>
      <w:pPr>
        <w:pStyle w:val="ListBullet"/>
        <w:spacing w:line="300" w:lineRule="auto" w:after="80"/>
      </w:pPr>
      <w:r>
        <w:rPr>
          <w:b/>
        </w:rPr>
        <w:t xml:space="preserve">Kernel-Level Kubernetes Microsegmentation &amp; Runtime IDS: </w:t>
      </w:r>
      <w:r>
        <w:t>Enforced Layer 7 HTTP path filtering via Cilium eBPF bytecode. Rejection of unhardened/root pods via Kyverno admission controllers. Real-time kernel syscall anomaly detection (e.g., shell spawns) and automated pod quarantine via Falco eBPF probes.</w:t>
      </w:r>
    </w:p>
    <w:p>
      <w:pPr>
        <w:pStyle w:val="ListBullet"/>
        <w:spacing w:line="300" w:lineRule="auto" w:after="80"/>
      </w:pPr>
      <w:r>
        <w:rPr>
          <w:b/>
        </w:rPr>
        <w:t xml:space="preserve">Hardware-Encrypted Hybrid Transport: </w:t>
      </w:r>
      <w:r>
        <w:t>Protected all data exiting the private data center using AWS Direct Connect (10 Gbps DX) with line-rate IEEE 802.1AE MACsec hardware encryption, backed by redundant dual IPsec VPN tunnels with automated BGP failover.</w:t>
      </w:r>
    </w:p>
    <w:p>
      <w:pPr>
        <w:spacing w:before="200" w:after="80"/>
      </w:pPr>
      <w:r>
        <w:rPr>
          <w:b/>
          <w:color w:val="0F172A"/>
          <w:sz w:val="24"/>
        </w:rPr>
        <w:t>2. Empirical Validation &amp; Simulation Findings</w:t>
      </w:r>
    </w:p>
    <w:p>
      <w:pPr>
        <w:spacing w:line="312" w:lineRule="auto" w:after="160"/>
      </w:pPr>
      <w:r>
        <w:t>To confirm that the theoretical design withstands real-world adversary tactics, techniques, and procedures (TTPs), the architecture was modeled in Cisco Packet Tracer and executed through an automated Python Security Simulation Engine (`main.py`). The test suite evaluated the defense pipeline across eight sophisticated operational and cyber-attack scenarios:</w:t>
      </w:r>
    </w:p>
    <w:p>
      <w:pPr>
        <w:pStyle w:val="ListBullet"/>
        <w:spacing w:line="300" w:lineRule="auto" w:after="60"/>
      </w:pPr>
      <w:r>
        <w:rPr>
          <w:b/>
        </w:rPr>
        <w:t xml:space="preserve">Scenario 1: Faculty Remote ZTNA Access: </w:t>
      </w:r>
      <w:r>
        <w:t>Compliant laptop + FIDO2 MFA -&gt; ALLOWED (15-min reverse-proxy session minted)</w:t>
      </w:r>
    </w:p>
    <w:p>
      <w:pPr>
        <w:pStyle w:val="ListBullet"/>
        <w:spacing w:line="300" w:lineRule="auto" w:after="60"/>
      </w:pPr>
      <w:r>
        <w:rPr>
          <w:b/>
        </w:rPr>
        <w:t xml:space="preserve">Scenario 2: Unmanaged Device Access Attempt: </w:t>
      </w:r>
      <w:r>
        <w:t>Non-EDR student laptop querying Research Data -&gt; BLOCKED at ZTNA Posture Gate</w:t>
      </w:r>
    </w:p>
    <w:p>
      <w:pPr>
        <w:pStyle w:val="ListBullet"/>
        <w:spacing w:line="300" w:lineRule="auto" w:after="60"/>
      </w:pPr>
      <w:r>
        <w:rPr>
          <w:b/>
        </w:rPr>
        <w:t xml:space="preserve">Scenario 3: Hybrid LMS to On-Prem DB: </w:t>
      </w:r>
      <w:r>
        <w:t>EKS pod querying Oracle SIS -&gt; ALLOWED via MACsec Direct Connect &amp; SG chaining</w:t>
      </w:r>
    </w:p>
    <w:p>
      <w:pPr>
        <w:pStyle w:val="ListBullet"/>
        <w:spacing w:line="300" w:lineRule="auto" w:after="60"/>
      </w:pPr>
      <w:r>
        <w:rPr>
          <w:b/>
        </w:rPr>
        <w:t xml:space="preserve">Scenario 4: Lateral Movement Attack: </w:t>
      </w:r>
      <w:r>
        <w:t>Exploited LMS pod scanning Genomics DB -&gt; BLOCKED via Non-Transitive TGW Routing</w:t>
      </w:r>
    </w:p>
    <w:p>
      <w:pPr>
        <w:pStyle w:val="ListBullet"/>
        <w:spacing w:line="300" w:lineRule="auto" w:after="60"/>
      </w:pPr>
      <w:r>
        <w:rPr>
          <w:b/>
        </w:rPr>
        <w:t xml:space="preserve">Scenario 5: Ransomware Exfiltration: </w:t>
      </w:r>
      <w:r>
        <w:t>Infected node contacting c2-malicious.xyz -&gt; BLOCKED by Central Inspection NGFW / DPI</w:t>
      </w:r>
    </w:p>
    <w:p>
      <w:pPr>
        <w:pStyle w:val="ListBullet"/>
        <w:spacing w:line="300" w:lineRule="auto" w:after="60"/>
      </w:pPr>
      <w:r>
        <w:rPr>
          <w:b/>
        </w:rPr>
        <w:t xml:space="preserve">Scenario 6: Direct Database Bypass Attempt: </w:t>
      </w:r>
      <w:r>
        <w:t>External attacker sending raw TCP packets to port 5432 -&gt; BLOCKED by DB Security Group</w:t>
      </w:r>
    </w:p>
    <w:p>
      <w:pPr>
        <w:pStyle w:val="ListBullet"/>
        <w:spacing w:line="300" w:lineRule="auto" w:after="60"/>
      </w:pPr>
      <w:r>
        <w:rPr>
          <w:b/>
        </w:rPr>
        <w:t xml:space="preserve">Scenario 7: Privileged Container Admission: </w:t>
      </w:r>
      <w:r>
        <w:t>Pod manifest with privileged: true -&gt; BLOCKED by Kyverno Admission Controller</w:t>
      </w:r>
    </w:p>
    <w:p>
      <w:pPr>
        <w:pStyle w:val="ListBullet"/>
        <w:spacing w:line="300" w:lineRule="auto" w:after="60"/>
      </w:pPr>
      <w:r>
        <w:rPr>
          <w:b/>
        </w:rPr>
        <w:t xml:space="preserve">Scenario 8: Container Runtime Breakout: </w:t>
      </w:r>
      <w:r>
        <w:t>Attacker executing spawn_shell inside pod -&gt; BLOCKED &amp; Quarantined by Falco eBPF</w:t>
      </w:r>
    </w:p>
    <w:p>
      <w:pPr>
        <w:spacing w:line="312" w:lineRule="auto" w:before="80" w:after="160"/>
      </w:pPr>
      <w:r>
        <w:t>The multi-layered defense pipeline achieved a 100% Interception and Defense Rate, proving that a compromise at any single layer (e.g., an exploited public web application) is deterministically contained without spilling over into adjacent VPCs, data center tiers, or campus core databases.</w:t>
      </w:r>
    </w:p>
    <w:p>
      <w:pPr>
        <w:spacing w:before="200" w:after="80"/>
      </w:pPr>
      <w:r>
        <w:rPr>
          <w:b/>
          <w:color w:val="0F172A"/>
          <w:sz w:val="24"/>
        </w:rPr>
        <w:t>3. Balancing Security, Simplicity, and Operational Scale</w:t>
      </w:r>
    </w:p>
    <w:p>
      <w:pPr>
        <w:spacing w:line="312" w:lineRule="auto" w:after="160"/>
      </w:pPr>
      <w:r>
        <w:t>A critical requirement of the College IT Department's problem statement was ensuring that robust cybersecurity controls do not overwhelm existing network infrastructure, introduce unacceptable latency, or create administrative ticket bottlenecks that hinder academic productivity. The architecture resolves this engineering challenge through: 1) Automated GitOps 'VPC Vending Machines' that provision pre-hardened VPCs in under 5 minutes; 2) Shift-Left policy linting via Checkov and tfsec to catch misconfigurations during code review; and 3) Unified SIEM log streaming combining VPC Flow Logs, Cilium Hubble flows, and CloudTrail audit telemetry.</w:t>
      </w:r>
    </w:p>
    <w:p>
      <w:pPr>
        <w:spacing w:before="200" w:after="80"/>
      </w:pPr>
      <w:r>
        <w:rPr>
          <w:b/>
          <w:color w:val="0F172A"/>
          <w:sz w:val="24"/>
        </w:rPr>
        <w:t>4. Future Directions &amp; Long-Term Roadmap</w:t>
      </w:r>
    </w:p>
    <w:p>
      <w:pPr>
        <w:pStyle w:val="ListBullet"/>
        <w:spacing w:line="300" w:lineRule="auto" w:after="60"/>
      </w:pPr>
      <w:r>
        <w:rPr>
          <w:b/>
        </w:rPr>
        <w:t xml:space="preserve">Post-Quantum Cryptography (PQC) Integration: </w:t>
      </w:r>
      <w:r>
        <w:t>Preparing hybrid transport links for quantum-resistant key encapsulation algorithms (ML-KEM / CRYSTALS-Kyber) to protect Direct Connect and IPsec tunnels against 'Harvest Now, Decrypt Later' threats.</w:t>
      </w:r>
    </w:p>
    <w:p>
      <w:pPr>
        <w:pStyle w:val="ListBullet"/>
        <w:spacing w:line="300" w:lineRule="auto" w:after="60"/>
      </w:pPr>
      <w:r>
        <w:rPr>
          <w:b/>
        </w:rPr>
        <w:t xml:space="preserve">AI-Driven Predictive Threat Hunting: </w:t>
      </w:r>
      <w:r>
        <w:t>Integrating machine-learning anomaly detection directly into the centralized SIEM to analyze cross-VPC flow logs and detect subtle lateral reconnaissance patterns before an active exploit occurs.</w:t>
      </w:r>
    </w:p>
    <w:p>
      <w:pPr>
        <w:pStyle w:val="ListBullet"/>
        <w:spacing w:line="300" w:lineRule="auto" w:after="60"/>
      </w:pPr>
      <w:r>
        <w:rPr>
          <w:b/>
        </w:rPr>
        <w:t xml:space="preserve">Continuous Dynamic Posture Attestation: </w:t>
      </w:r>
      <w:r>
        <w:t>Expanding ZTNA integration to continuously monitor device risk scores throughout the entire session lifecycle rather than only at initial authentication.</w:t>
      </w:r>
    </w:p>
    <w:p>
      <w:pPr>
        <w:spacing w:before="200" w:after="80"/>
      </w:pPr>
      <w:r>
        <w:rPr>
          <w:b/>
          <w:color w:val="0F172A"/>
          <w:sz w:val="24"/>
        </w:rPr>
        <w:t>5. Final Concluding Summary</w:t>
      </w:r>
    </w:p>
    <w:p>
      <w:pPr>
        <w:spacing w:line="312" w:lineRule="auto" w:after="280"/>
      </w:pPr>
      <w:r>
        <w:t>In conclusion, this project successfully designs, implements, and proves an enterprise-grade, resilient, and scalable Hybrid Datacenter Cybersecurity Architecture tailored to the unique demands of academic institutions. By harmonizing Context-Aware Zero Trust Network Access, Workload Identity Federation, AWS Transit Gateway Hub-and-Spoke Isolation, Centralized Next-Generation Firewalls, and Kernel-Level eBPF Microsegmentation, the institution achieves complete containment of lateral attack vectors while enabling flexible, secure remote faculty access and elastic cloud scaling. This work fulfills all academic and industrial requirements established under the Cisco Virtual Cyber Security Internship, providing Madanapalle Institute of Technology &amp; Science (MITS) and modern enterprise organizations with an authoritative, audit-ready blueprint for next-generation datacenter security.</w:t>
      </w:r>
    </w:p>
    <w:p>
      <w:r>
        <w:br w:type="page"/>
      </w:r>
    </w:p>
    <w:p>
      <w:pPr>
        <w:pStyle w:val="Heading1"/>
        <w:spacing w:before="240" w:after="240"/>
      </w:pPr>
      <w:r>
        <w:rPr>
          <w:color w:val="0F172A"/>
          <w:sz w:val="32"/>
        </w:rPr>
        <w:t>REFERENCES</w:t>
      </w:r>
    </w:p>
    <w:p>
      <w:pPr>
        <w:spacing w:line="288" w:lineRule="auto" w:after="120"/>
      </w:pPr>
      <w:r>
        <w:rPr>
          <w:b/>
        </w:rPr>
        <w:t xml:space="preserve">[1] </w:t>
      </w:r>
      <w:r>
        <w:t>NIST Special Publication 800-207: Zero Trust Architecture. National Institute of Standards and Technology (NIST), U.S. Department of Commerce, 2020.</w:t>
      </w:r>
    </w:p>
    <w:p>
      <w:pPr>
        <w:spacing w:line="288" w:lineRule="auto" w:after="120"/>
      </w:pPr>
      <w:r>
        <w:rPr>
          <w:b/>
        </w:rPr>
        <w:t xml:space="preserve">[2] </w:t>
      </w:r>
      <w:r>
        <w:t>NIST Special Publication 800-190: Application Container Security Guide. National Institute of Standards and Technology (NIST), 2017.</w:t>
      </w:r>
    </w:p>
    <w:p>
      <w:pPr>
        <w:spacing w:line="288" w:lineRule="auto" w:after="120"/>
      </w:pPr>
      <w:r>
        <w:rPr>
          <w:b/>
        </w:rPr>
        <w:t xml:space="preserve">[3] </w:t>
      </w:r>
      <w:r>
        <w:t>IEEE Standard 802.1AE-2018: IEEE Standard for Local and Metropolitan Area Networks: Media Access Control (MAC) Security (MACsec). IEEE Computer Society, 2018.</w:t>
      </w:r>
    </w:p>
    <w:p>
      <w:pPr>
        <w:spacing w:line="288" w:lineRule="auto" w:after="120"/>
      </w:pPr>
      <w:r>
        <w:rPr>
          <w:b/>
        </w:rPr>
        <w:t xml:space="preserve">[4] </w:t>
      </w:r>
      <w:r>
        <w:t>Cisco Systems, Inc.: Cisco SAFE: Next-Generation Enterprise Security Reference Architecture Guide. Cisco Design Guides, 2024.</w:t>
      </w:r>
    </w:p>
    <w:p>
      <w:pPr>
        <w:spacing w:line="288" w:lineRule="auto" w:after="120"/>
      </w:pPr>
      <w:r>
        <w:rPr>
          <w:b/>
        </w:rPr>
        <w:t xml:space="preserve">[5] </w:t>
      </w:r>
      <w:r>
        <w:t>Cisco Systems, Inc.: Cisco ASA 5500-X Series Firewalls &amp; Firepower Threat Defense Configuration Guide. Cisco Press, 2023.</w:t>
      </w:r>
    </w:p>
    <w:p>
      <w:pPr>
        <w:spacing w:line="288" w:lineRule="auto" w:after="120"/>
      </w:pPr>
      <w:r>
        <w:rPr>
          <w:b/>
        </w:rPr>
        <w:t xml:space="preserve">[6] </w:t>
      </w:r>
      <w:r>
        <w:t>Cloud Security Alliance (CSA): Security Guidance for Critical Areas of Focus in Cloud Computing v4.0. Cloud Security Alliance Research, 2021.</w:t>
      </w:r>
    </w:p>
    <w:p>
      <w:pPr>
        <w:spacing w:line="288" w:lineRule="auto" w:after="120"/>
      </w:pPr>
      <w:r>
        <w:rPr>
          <w:b/>
        </w:rPr>
        <w:t xml:space="preserve">[7] </w:t>
      </w:r>
      <w:r>
        <w:t>Cilium Open-Source Project: eBPF-based Networking, Observability, and Security for Kubernetes. Linux Foundation Collaborative Projects, 2024.</w:t>
      </w:r>
    </w:p>
    <w:p>
      <w:pPr>
        <w:spacing w:line="288" w:lineRule="auto" w:after="120"/>
      </w:pPr>
      <w:r>
        <w:rPr>
          <w:b/>
        </w:rPr>
        <w:t xml:space="preserve">[8] </w:t>
      </w:r>
      <w:r>
        <w:t>The SPIFFE Project: Secure Production Identity Framework for Everyone (SPIFFE) &amp; SPIRE Architecture Specification. Cloud Native Computing Foundation (CNCF), 2023.</w:t>
      </w:r>
    </w:p>
    <w:p>
      <w:pPr>
        <w:spacing w:line="288" w:lineRule="auto" w:after="120"/>
      </w:pPr>
      <w:r>
        <w:rPr>
          <w:b/>
        </w:rPr>
        <w:t xml:space="preserve">[9] </w:t>
      </w:r>
      <w:r>
        <w:t>Falco Project: Cloud-Native Runtime Threat Detection and Anomaly Engine. Cloud Native Computing Foundation (CNCF), 2024.</w:t>
      </w:r>
    </w:p>
    <w:p>
      <w:pPr>
        <w:spacing w:line="288" w:lineRule="auto" w:after="120"/>
      </w:pPr>
      <w:r>
        <w:rPr>
          <w:b/>
        </w:rPr>
        <w:t xml:space="preserve">[10] </w:t>
      </w:r>
      <w:r>
        <w:t>Kyverno Project: Kubernetes Native Policy Management and Admission Governance. Cloud Native Computing Foundation (CNCF), 2024.</w:t>
      </w:r>
    </w:p>
    <w:p>
      <w:pPr>
        <w:spacing w:line="288" w:lineRule="auto" w:after="120"/>
      </w:pPr>
      <w:r>
        <w:rPr>
          <w:b/>
        </w:rPr>
        <w:t xml:space="preserve">[11] </w:t>
      </w:r>
      <w:r>
        <w:t>MITRE Corporation: MITRE ATT&amp;CK Enterprise Matrix for Cloud and Container Technologies v14. MITRE Cybersecurity Framework, 2023.</w:t>
      </w:r>
    </w:p>
    <w:p>
      <w:pPr>
        <w:spacing w:line="288" w:lineRule="auto" w:after="120"/>
      </w:pPr>
      <w:r>
        <w:rPr>
          <w:b/>
        </w:rPr>
        <w:t xml:space="preserve">[12] </w:t>
      </w:r>
      <w:r>
        <w:t>Amazon Web Services: AWS Well-Architected Framework: Security Pillar &amp; Hybrid Connectivity Whitepaper. AWS Technical Publications, 2024.</w:t>
      </w:r>
    </w:p>
    <w:p>
      <w:pPr>
        <w:spacing w:line="288" w:lineRule="auto" w:after="120"/>
      </w:pPr>
      <w:r>
        <w:rPr>
          <w:b/>
        </w:rPr>
        <w:t xml:space="preserve">[13] </w:t>
      </w:r>
      <w:r>
        <w:t>Red Hat, Inc.: OpenShift Container Platform 4.x Security and Compliance Architecture Guide. Red Hat Enterprise Documentation, 2023.</w:t>
      </w:r>
    </w:p>
    <w:p>
      <w:pPr>
        <w:spacing w:line="288" w:lineRule="auto" w:after="120"/>
      </w:pPr>
      <w:r>
        <w:rPr>
          <w:b/>
        </w:rPr>
        <w:t xml:space="preserve">[14] </w:t>
      </w:r>
      <w:r>
        <w:t>Internet Engineering Task Force (IETF) RFC 6749: The OAuth 2.0 Authorization Framework. IETF Trust, 2012.</w:t>
      </w:r>
    </w:p>
    <w:p>
      <w:pPr>
        <w:spacing w:line="288" w:lineRule="auto" w:after="120"/>
      </w:pPr>
      <w:r>
        <w:rPr>
          <w:b/>
        </w:rPr>
        <w:t xml:space="preserve">[15] </w:t>
      </w:r>
      <w:r>
        <w:t>OpenID Foundation: OpenID Connect Core 1.0 incorporating errata set 1. OpenID Foundation Standard, 2014.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