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№3</w:t>
      </w:r>
    </w:p>
    <w:p>
      <w:pPr>
        <w:pStyle w:val="Subtitle"/>
      </w:pPr>
      <w:r>
        <w:t xml:space="preserve">Mathematical</w:t>
      </w:r>
      <w:r>
        <w:t xml:space="preserve"> </w:t>
      </w:r>
      <w:r>
        <w:t xml:space="preserve">equations</w:t>
      </w:r>
    </w:p>
    <w:p>
      <w:pPr>
        <w:pStyle w:val="Author"/>
      </w:pPr>
      <w:r>
        <w:t xml:space="preserve">Кубасов</w:t>
      </w:r>
      <w:r>
        <w:t xml:space="preserve"> </w:t>
      </w:r>
      <w:r>
        <w:t xml:space="preserve">В.Ю.,</w:t>
      </w:r>
      <w:r>
        <w:t xml:space="preserve"> </w:t>
      </w:r>
      <w:r>
        <w:t xml:space="preserve">ст.б.</w:t>
      </w:r>
      <w:r>
        <w:t xml:space="preserve"> </w:t>
      </w:r>
      <w:r>
        <w:t xml:space="preserve">1132249516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Изучить язык математических формул latex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Try out some basic math mode work: take the examples and switch between inline</w:t>
      </w:r>
      <w:r>
        <w:t xml:space="preserve"> </w:t>
      </w:r>
      <w:r>
        <w:t xml:space="preserve">and display math modes. Can you see what effect this has.</w:t>
      </w:r>
    </w:p>
    <w:p>
      <w:pPr>
        <w:numPr>
          <w:ilvl w:val="0"/>
          <w:numId w:val="1002"/>
        </w:numPr>
        <w:pStyle w:val="Compact"/>
      </w:pPr>
      <w:r>
        <w:t xml:space="preserve">Try adding other Greek letters, both lower- and uppercase. You should be able to</w:t>
      </w:r>
      <w:r>
        <w:t xml:space="preserve"> </w:t>
      </w:r>
      <w:r>
        <w:t xml:space="preserve">guess the names.</w:t>
      </w:r>
    </w:p>
    <w:p>
      <w:pPr>
        <w:numPr>
          <w:ilvl w:val="0"/>
          <w:numId w:val="1002"/>
        </w:numPr>
        <w:pStyle w:val="Compact"/>
      </w:pPr>
      <w:r>
        <w:t xml:space="preserve">Experiment with the font changing commands: what happens when you try to nest</w:t>
      </w:r>
      <w:r>
        <w:t xml:space="preserve"> </w:t>
      </w:r>
      <w:r>
        <w:t xml:space="preserve">them?</w:t>
      </w:r>
    </w:p>
    <w:p>
      <w:pPr>
        <w:numPr>
          <w:ilvl w:val="0"/>
          <w:numId w:val="1002"/>
        </w:numPr>
        <w:pStyle w:val="Compact"/>
      </w:pPr>
      <w:r>
        <w:t xml:space="preserve">Displayed math is centered by default; try adding the document class option</w:t>
      </w:r>
      <w:r>
        <w:t xml:space="preserve"> </w:t>
      </w:r>
      <w:r>
        <w:t xml:space="preserve">[fleqn] (flush left equation) option to some of the above examples to see a different layout.</w:t>
      </w:r>
      <w:r>
        <w:t xml:space="preserve"> </w:t>
      </w:r>
      <w:r>
        <w:t xml:space="preserve">Similarly equation numbers are usually on the right. Experiment with</w:t>
      </w:r>
      <w:r>
        <w:t xml:space="preserve"> </w:t>
      </w:r>
      <w:r>
        <w:t xml:space="preserve">adding the [leqno] (left equation numbers) document class option.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numPr>
          <w:ilvl w:val="0"/>
          <w:numId w:val="1003"/>
        </w:numPr>
        <w:pStyle w:val="Compact"/>
      </w:pPr>
      <w:r>
        <w:t xml:space="preserve">Для режима отображения математических формул можно использовать те же команды, что и для встроенных функций.</w:t>
      </w:r>
      <w:r>
        <w:t xml:space="preserve"> </w:t>
      </w:r>
      <w:r>
        <w:t xml:space="preserve">Режим отображения математических формул по умолчанию центрирован и предназначен для больших формул, являющихся частью абзаца. Обратите внимание, что среды отображения математических формул не допускают, чтобы абзац заканчивался внутри математических формул, поэтому в исходном тексте может не быть пустых строк.</w:t>
      </w:r>
    </w:p>
    <w:p>
      <w:pPr>
        <w:numPr>
          <w:ilvl w:val="0"/>
          <w:numId w:val="1003"/>
        </w:numPr>
        <w:pStyle w:val="Compact"/>
      </w:pPr>
      <w:r>
        <w:t xml:space="preserve">Абзац всегда должен начинаться до отображения, поэтому не оставляйте пустую строку перед средой отображения математических формул. Если вам нужно несколько строк математических формул,</w:t>
      </w:r>
      <w:r>
        <w:t xml:space="preserve"> </w:t>
      </w:r>
      <w:r>
        <w:t xml:space="preserve">не используйте последовательные среды отображения математических формул (это приводит к неравномерному</w:t>
      </w:r>
      <w:r>
        <w:t xml:space="preserve"> </w:t>
      </w:r>
      <w:r>
        <w:t xml:space="preserve">расстоянию); используйте одну из многострочных сред отображения, например, align из</w:t>
      </w:r>
      <w:r>
        <w:t xml:space="preserve"> </w:t>
      </w:r>
      <w:r>
        <w:t xml:space="preserve">пакета amsmath, описанного далее.</w:t>
      </w:r>
    </w:p>
    <w:p>
      <w:pPr>
        <w:numPr>
          <w:ilvl w:val="0"/>
          <w:numId w:val="1003"/>
        </w:numPr>
        <w:pStyle w:val="Compact"/>
      </w:pPr>
      <w:r>
        <w:t xml:space="preserve">Математическая нотация очень богата, и это означает, что инструменты, встроенные в ядро ​​LaTeX,</w:t>
      </w:r>
      <w:r>
        <w:t xml:space="preserve"> </w:t>
      </w:r>
      <w:r>
        <w:t xml:space="preserve">не могут охватить всё. Пакет amsmath расширяет базовую поддержку,</w:t>
      </w:r>
      <w:r>
        <w:t xml:space="preserve"> </w:t>
      </w:r>
      <w:r>
        <w:t xml:space="preserve">чтобы охватить гораздо больше идей. Руководство пользователя amsmath содержит гораздо больше примеров,</w:t>
      </w:r>
      <w:r>
        <w:t xml:space="preserve"> </w:t>
      </w:r>
      <w:r>
        <w:t xml:space="preserve">чем мы можем показать в этом уроке.</w:t>
      </w:r>
    </w:p>
    <w:bookmarkEnd w:id="22"/>
    <w:bookmarkStart w:id="2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 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[T2A]{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    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[fleqn]{</w:t>
      </w:r>
      <w:r>
        <w:rPr>
          <w:rStyle w:val="ExtensionTok"/>
        </w:rPr>
        <w:t xml:space="preserve">amsmath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A second sentence with inline mathematics: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StringTok"/>
        </w:rPr>
        <w:t xml:space="preserve">5^{2}=3^{2}+4^{2}</w:t>
      </w:r>
      <w:r>
        <w:br/>
      </w:r>
      <w:r>
        <w:rPr>
          <w:rStyle w:val="SpecialStringTok"/>
        </w:rPr>
        <w:t xml:space="preserve">\]</w:t>
      </w:r>
      <w:r>
        <w:rPr>
          <w:rStyle w:val="FunctionTok"/>
        </w:rPr>
        <w:t xml:space="preserve">\\</w:t>
      </w:r>
      <w:r>
        <w:br/>
      </w:r>
      <w:r>
        <w:rPr>
          <w:rStyle w:val="NormalTok"/>
        </w:rPr>
        <w:t xml:space="preserve">A second paragraph containing display math.</w:t>
      </w:r>
      <w:r>
        <w:br/>
      </w:r>
      <w:r>
        <w:rPr>
          <w:rStyle w:val="SpecialStringTok"/>
        </w:rPr>
        <w:t xml:space="preserve">$y = mx + c$</w:t>
      </w:r>
      <w:r>
        <w:br/>
      </w:r>
      <w:r>
        <w:br/>
      </w:r>
      <w:r>
        <w:rPr>
          <w:rStyle w:val="NormalTok"/>
        </w:rPr>
        <w:t xml:space="preserve">One two three</w:t>
      </w:r>
      <w:r>
        <w:br/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\log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\alpha</w:t>
      </w:r>
      <w:r>
        <w:rPr>
          <w:rStyle w:val="SpecialStringTok"/>
        </w:rPr>
        <w:t xml:space="preserve"> + </w:t>
      </w:r>
      <w:r>
        <w:rPr>
          <w:rStyle w:val="SpecialCharTok"/>
        </w:rPr>
        <w:t xml:space="preserve">\log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\beta</w:t>
      </w:r>
      <w:r>
        <w:rPr>
          <w:rStyle w:val="SpecialStringTok"/>
        </w:rPr>
        <w:t xml:space="preserve"> = </w:t>
      </w:r>
      <w:r>
        <w:rPr>
          <w:rStyle w:val="SpecialCharTok"/>
        </w:rPr>
        <w:t xml:space="preserve">\log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\alpha\beta</w:t>
      </w:r>
      <w:r>
        <w:rPr>
          <w:rStyle w:val="SpecialStringTok"/>
        </w:rPr>
        <w:t xml:space="preserve">)$</w:t>
      </w:r>
      <w:r>
        <w:br/>
      </w:r>
      <w:r>
        <w:br/>
      </w:r>
      <w:r>
        <w:rPr>
          <w:rStyle w:val="NormalTok"/>
        </w:rPr>
        <w:t xml:space="preserve">Greek letters: </w:t>
      </w:r>
      <w:r>
        <w:br/>
      </w:r>
      <w:r>
        <w:rPr>
          <w:rStyle w:val="SpecialStringTok"/>
        </w:rPr>
        <w:t xml:space="preserve">\[</w:t>
      </w:r>
      <w:r>
        <w:br/>
      </w:r>
      <w:r>
        <w:rPr>
          <w:rStyle w:val="SpecialCharTok"/>
        </w:rPr>
        <w:t xml:space="preserve">\phi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\Phi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\Delta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\lambda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\Lambda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\gamma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\Gamma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\theta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\Theta</w:t>
      </w:r>
      <w:r>
        <w:br/>
      </w:r>
      <w:r>
        <w:rPr>
          <w:rStyle w:val="SpecialStringTok"/>
        </w:rPr>
        <w:t xml:space="preserve">\]</w:t>
      </w:r>
      <w:r>
        <w:br/>
      </w:r>
      <w:r>
        <w:br/>
      </w:r>
      <w:r>
        <w:rPr>
          <w:rStyle w:val="NormalTok"/>
        </w:rPr>
        <w:t xml:space="preserve">Nested fonts:</w:t>
      </w:r>
      <w:r>
        <w:br/>
      </w:r>
      <w:r>
        <w:br/>
      </w:r>
      <w:r>
        <w:rPr>
          <w:rStyle w:val="SpecialStringTok"/>
        </w:rPr>
        <w:t xml:space="preserve">$</w:t>
      </w:r>
      <w:r>
        <w:rPr>
          <w:rStyle w:val="SpecialCharTok"/>
        </w:rPr>
        <w:t xml:space="preserve">\mathit</w:t>
      </w:r>
      <w:r>
        <w:rPr>
          <w:rStyle w:val="SpecialStringTok"/>
        </w:rPr>
        <w:t xml:space="preserve">{abracadabra </w:t>
      </w:r>
      <w:r>
        <w:rPr>
          <w:rStyle w:val="SpecialCharTok"/>
        </w:rPr>
        <w:t xml:space="preserve">\mathbf</w:t>
      </w:r>
      <w:r>
        <w:rPr>
          <w:rStyle w:val="SpecialStringTok"/>
        </w:rPr>
        <w:t xml:space="preserve">{this is bold italic}}$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   a=b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b=c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c=d</w:t>
      </w:r>
      <w:r>
        <w:rPr>
          <w:rStyle w:val="SpecialCharTok"/>
        </w:rPr>
        <w:t xml:space="preserve">\\</w:t>
      </w:r>
      <w:r>
        <w:br/>
      </w:r>
      <w:r>
        <w:rPr>
          <w:rStyle w:val="SpecialStringTok"/>
        </w:rPr>
        <w:t xml:space="preserve">   d=e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align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23"/>
    <w:bookmarkStart w:id="2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04"/>
        </w:numPr>
        <w:pStyle w:val="Compact"/>
      </w:pPr>
      <w:r>
        <w:t xml:space="preserve">Научились использовать нотацию latex в части математических выражений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Кубасов В.Ю., ст.б. 1132249516</dc:creator>
  <dc:language>ru-RU</dc:language>
  <cp:keywords/>
  <dcterms:created xsi:type="dcterms:W3CDTF">2025-10-11T15:49:31Z</dcterms:created>
  <dcterms:modified xsi:type="dcterms:W3CDTF">2025-10-11T15:49:31Z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t">
    <vt:lpwstr>False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Mathematical equations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