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pacing w:line="590" w:lineRule="exact"/>
        <w:jc w:val="center"/>
        <w:rPr>
          <w:rFonts w:hint="eastAsia" w:ascii="方正小标宋_GBK" w:hAnsi="方正小标宋_GBK" w:eastAsia="方正小标宋_GBK" w:cs="方正小标宋_GBK"/>
          <w:spacing w:val="-6"/>
          <w:sz w:val="44"/>
          <w:szCs w:val="44"/>
        </w:rPr>
      </w:pPr>
      <w:bookmarkStart w:id="0" w:name="_GoBack"/>
    </w:p>
    <w:p>
      <w:pPr>
        <w:keepNext w:val="0"/>
        <w:keepLines w:val="0"/>
        <w:pageBreakBefore w:val="0"/>
        <w:kinsoku/>
        <w:wordWrap/>
        <w:overflowPunct/>
        <w:topLinePunct w:val="0"/>
        <w:autoSpaceDE/>
        <w:autoSpaceDN/>
        <w:bidi w:val="0"/>
        <w:adjustRightInd/>
        <w:spacing w:line="590" w:lineRule="exact"/>
        <w:jc w:val="center"/>
        <w:rPr>
          <w:rFonts w:hint="eastAsia" w:ascii="方正小标宋_GBK" w:hAnsi="方正小标宋_GBK" w:eastAsia="方正小标宋_GBK" w:cs="方正小标宋_GBK"/>
          <w:spacing w:val="-6"/>
          <w:sz w:val="44"/>
          <w:szCs w:val="44"/>
        </w:rPr>
      </w:pPr>
    </w:p>
    <w:p>
      <w:pPr>
        <w:keepNext w:val="0"/>
        <w:keepLines w:val="0"/>
        <w:pageBreakBefore w:val="0"/>
        <w:kinsoku/>
        <w:wordWrap/>
        <w:overflowPunct/>
        <w:topLinePunct w:val="0"/>
        <w:autoSpaceDE/>
        <w:autoSpaceDN/>
        <w:bidi w:val="0"/>
        <w:adjustRightInd/>
        <w:spacing w:line="590" w:lineRule="exact"/>
        <w:jc w:val="center"/>
        <w:rPr>
          <w:rFonts w:hint="eastAsia" w:ascii="仿宋_GB2312" w:hAnsi="宋体" w:eastAsia="仿宋_GB2312"/>
          <w:b/>
          <w:bCs/>
          <w:sz w:val="32"/>
          <w:szCs w:val="32"/>
        </w:rPr>
      </w:pPr>
      <w:r>
        <w:rPr>
          <w:rFonts w:hint="eastAsia" w:ascii="方正小标宋_GBK" w:hAnsi="方正小标宋_GBK" w:eastAsia="方正小标宋_GBK" w:cs="方正小标宋_GBK"/>
          <w:spacing w:val="-6"/>
          <w:sz w:val="44"/>
          <w:szCs w:val="44"/>
        </w:rPr>
        <w:t>关于印发《</w:t>
      </w:r>
      <w:r>
        <w:rPr>
          <w:rFonts w:hint="eastAsia" w:ascii="方正小标宋_GBK" w:hAnsi="方正小标宋_GBK" w:eastAsia="方正小标宋_GBK" w:cs="方正小标宋_GBK"/>
          <w:sz w:val="44"/>
          <w:szCs w:val="44"/>
        </w:rPr>
        <w:t>宿州市公共资源交易市场竞争主体不良行为记录和披露办法</w:t>
      </w:r>
      <w:r>
        <w:rPr>
          <w:rFonts w:hint="eastAsia" w:ascii="方正小标宋_GBK" w:hAnsi="方正小标宋_GBK" w:eastAsia="方正小标宋_GBK" w:cs="方正小标宋_GBK"/>
          <w:spacing w:val="-6"/>
          <w:sz w:val="44"/>
          <w:szCs w:val="44"/>
        </w:rPr>
        <w:t>》的通知</w:t>
      </w:r>
    </w:p>
    <w:p>
      <w:pPr>
        <w:keepNext w:val="0"/>
        <w:keepLines w:val="0"/>
        <w:pageBreakBefore w:val="0"/>
        <w:kinsoku/>
        <w:wordWrap/>
        <w:overflowPunct/>
        <w:topLinePunct w:val="0"/>
        <w:autoSpaceDE/>
        <w:autoSpaceDN/>
        <w:bidi w:val="0"/>
        <w:adjustRightInd/>
        <w:snapToGrid w:val="0"/>
        <w:spacing w:line="590" w:lineRule="exact"/>
        <w:jc w:val="center"/>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宿公管委办〔2018〕3号</w:t>
      </w:r>
    </w:p>
    <w:p>
      <w:pPr>
        <w:keepNext w:val="0"/>
        <w:keepLines w:val="0"/>
        <w:pageBreakBefore w:val="0"/>
        <w:kinsoku/>
        <w:wordWrap/>
        <w:overflowPunct/>
        <w:topLinePunct w:val="0"/>
        <w:autoSpaceDE/>
        <w:autoSpaceDN/>
        <w:bidi w:val="0"/>
        <w:adjustRightInd/>
        <w:snapToGrid w:val="0"/>
        <w:spacing w:line="590" w:lineRule="exact"/>
        <w:rPr>
          <w:rFonts w:hint="eastAsia" w:ascii="Times New Roman" w:hAnsi="Times New Roman" w:eastAsia="方正仿宋_GBK" w:cs="方正仿宋_GBK"/>
          <w:sz w:val="32"/>
          <w:szCs w:val="32"/>
        </w:rPr>
      </w:pPr>
    </w:p>
    <w:p>
      <w:pPr>
        <w:keepNext w:val="0"/>
        <w:keepLines w:val="0"/>
        <w:pageBreakBefore w:val="0"/>
        <w:kinsoku/>
        <w:wordWrap/>
        <w:overflowPunct/>
        <w:topLinePunct w:val="0"/>
        <w:autoSpaceDE/>
        <w:autoSpaceDN/>
        <w:bidi w:val="0"/>
        <w:adjustRightInd/>
        <w:snapToGrid w:val="0"/>
        <w:spacing w:line="590" w:lineRule="exact"/>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各县、区人民政府，市政府各部门、各直属单位：</w:t>
      </w:r>
    </w:p>
    <w:p>
      <w:pPr>
        <w:keepNext w:val="0"/>
        <w:keepLines w:val="0"/>
        <w:pageBreakBefore w:val="0"/>
        <w:kinsoku/>
        <w:wordWrap/>
        <w:overflowPunct/>
        <w:topLinePunct w:val="0"/>
        <w:autoSpaceDE/>
        <w:autoSpaceDN/>
        <w:bidi w:val="0"/>
        <w:adjustRightInd/>
        <w:snapToGrid w:val="0"/>
        <w:spacing w:line="590" w:lineRule="exact"/>
        <w:ind w:firstLine="640" w:firstLineChars="200"/>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《宿州市公共资源交易市场竞争主体不良行为记录和披露办法》已经公管委会议审议通过，现印发给你们，请遵照执行。</w:t>
      </w:r>
    </w:p>
    <w:p>
      <w:pPr>
        <w:keepNext w:val="0"/>
        <w:keepLines w:val="0"/>
        <w:pageBreakBefore w:val="0"/>
        <w:kinsoku/>
        <w:wordWrap/>
        <w:overflowPunct/>
        <w:topLinePunct w:val="0"/>
        <w:autoSpaceDE/>
        <w:autoSpaceDN/>
        <w:bidi w:val="0"/>
        <w:adjustRightInd/>
        <w:snapToGrid w:val="0"/>
        <w:spacing w:line="590" w:lineRule="exact"/>
        <w:rPr>
          <w:rFonts w:hint="eastAsia" w:ascii="Times New Roman" w:hAnsi="Times New Roman" w:eastAsia="方正仿宋_GBK" w:cs="方正仿宋_GBK"/>
          <w:sz w:val="32"/>
          <w:szCs w:val="32"/>
        </w:rPr>
      </w:pPr>
    </w:p>
    <w:p>
      <w:pPr>
        <w:keepNext w:val="0"/>
        <w:keepLines w:val="0"/>
        <w:pageBreakBefore w:val="0"/>
        <w:kinsoku/>
        <w:wordWrap/>
        <w:overflowPunct/>
        <w:topLinePunct w:val="0"/>
        <w:autoSpaceDE/>
        <w:autoSpaceDN/>
        <w:bidi w:val="0"/>
        <w:adjustRightInd/>
        <w:snapToGrid w:val="0"/>
        <w:spacing w:line="590" w:lineRule="exact"/>
        <w:ind w:firstLine="640" w:firstLineChars="200"/>
        <w:rPr>
          <w:rFonts w:hint="default" w:ascii="Times New Roman" w:hAnsi="Times New Roman" w:eastAsia="方正仿宋_GBK" w:cs="方正仿宋_GBK"/>
          <w:w w:val="70"/>
          <w:sz w:val="32"/>
          <w:szCs w:val="32"/>
          <w:lang w:val="en-US" w:eastAsia="zh-CN"/>
        </w:rPr>
      </w:pP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宿州市公共资源交易管理委员会办公室（代章）</w:t>
      </w:r>
      <w:r>
        <w:rPr>
          <w:rFonts w:hint="eastAsia" w:ascii="Times New Roman" w:hAnsi="Times New Roman" w:eastAsia="方正仿宋_GBK" w:cs="方正仿宋_GBK"/>
          <w:sz w:val="32"/>
          <w:szCs w:val="32"/>
          <w:lang w:val="en-US" w:eastAsia="zh-CN"/>
        </w:rPr>
        <w:t xml:space="preserve">  </w:t>
      </w:r>
    </w:p>
    <w:p>
      <w:pPr>
        <w:keepNext w:val="0"/>
        <w:keepLines w:val="0"/>
        <w:pageBreakBefore w:val="0"/>
        <w:kinsoku/>
        <w:wordWrap/>
        <w:overflowPunct/>
        <w:topLinePunct w:val="0"/>
        <w:autoSpaceDE/>
        <w:autoSpaceDN/>
        <w:bidi w:val="0"/>
        <w:adjustRightInd/>
        <w:snapToGrid w:val="0"/>
        <w:spacing w:line="590" w:lineRule="exact"/>
        <w:ind w:firstLine="640" w:firstLineChars="200"/>
        <w:jc w:val="center"/>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2018年6月20日</w:t>
      </w: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lang w:val="en-US" w:eastAsia="zh-CN"/>
        </w:rPr>
      </w:pPr>
      <w:r>
        <w:rPr>
          <w:rFonts w:hint="eastAsia" w:ascii="方正小标宋简体" w:hAnsi="宋体" w:eastAsia="方正小标宋简体" w:cs="华康简标题宋"/>
          <w:spacing w:val="-6"/>
          <w:sz w:val="44"/>
          <w:szCs w:val="44"/>
          <w:lang w:val="en-US" w:eastAsia="zh-CN"/>
        </w:rPr>
        <w:t xml:space="preserve"> </w:t>
      </w: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lang w:val="en-US" w:eastAsia="zh-CN"/>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lang w:val="en-US" w:eastAsia="zh-CN"/>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napToGrid w:val="0"/>
        <w:spacing w:line="590" w:lineRule="exact"/>
        <w:rPr>
          <w:rFonts w:hint="eastAsia" w:ascii="方正小标宋简体" w:hAnsi="宋体" w:eastAsia="方正小标宋简体" w:cs="华康简标题宋"/>
          <w:spacing w:val="-6"/>
          <w:sz w:val="44"/>
          <w:szCs w:val="44"/>
        </w:rPr>
      </w:pPr>
    </w:p>
    <w:p>
      <w:pPr>
        <w:keepNext w:val="0"/>
        <w:keepLines w:val="0"/>
        <w:pageBreakBefore w:val="0"/>
        <w:kinsoku/>
        <w:wordWrap/>
        <w:overflowPunct/>
        <w:topLinePunct w:val="0"/>
        <w:autoSpaceDE/>
        <w:autoSpaceDN/>
        <w:bidi w:val="0"/>
        <w:adjustRightInd/>
        <w:spacing w:line="590" w:lineRule="exact"/>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宿州市公共资源交易市场竞争主体</w:t>
      </w:r>
    </w:p>
    <w:p>
      <w:pPr>
        <w:keepNext w:val="0"/>
        <w:keepLines w:val="0"/>
        <w:pageBreakBefore w:val="0"/>
        <w:kinsoku/>
        <w:wordWrap/>
        <w:overflowPunct/>
        <w:topLinePunct w:val="0"/>
        <w:autoSpaceDE/>
        <w:autoSpaceDN/>
        <w:bidi w:val="0"/>
        <w:adjustRightInd/>
        <w:spacing w:line="590" w:lineRule="exact"/>
        <w:jc w:val="center"/>
        <w:rPr>
          <w:rFonts w:ascii="方正小标宋简体" w:hAnsi="方正小标宋简体" w:eastAsia="方正小标宋简体" w:cs="方正小标宋简体"/>
          <w:sz w:val="44"/>
          <w:szCs w:val="44"/>
        </w:rPr>
      </w:pPr>
      <w:r>
        <w:rPr>
          <w:rFonts w:hint="eastAsia" w:ascii="方正小标宋_GBK" w:hAnsi="方正小标宋_GBK" w:eastAsia="方正小标宋_GBK" w:cs="方正小标宋_GBK"/>
          <w:sz w:val="44"/>
          <w:szCs w:val="44"/>
        </w:rPr>
        <w:t>不良行为记录和披露办法</w:t>
      </w:r>
    </w:p>
    <w:p>
      <w:pPr>
        <w:keepNext w:val="0"/>
        <w:keepLines w:val="0"/>
        <w:pageBreakBefore w:val="0"/>
        <w:kinsoku/>
        <w:wordWrap/>
        <w:overflowPunct/>
        <w:topLinePunct w:val="0"/>
        <w:autoSpaceDE/>
        <w:autoSpaceDN/>
        <w:bidi w:val="0"/>
        <w:adjustRightInd/>
        <w:spacing w:line="590" w:lineRule="exact"/>
        <w:jc w:val="center"/>
        <w:rPr>
          <w:sz w:val="36"/>
          <w:szCs w:val="36"/>
        </w:rPr>
      </w:pP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_GB2312" w:hAnsi="Times New Roman" w:eastAsia="仿宋_GB2312"/>
          <w:color w:val="000000"/>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第一条</w:t>
      </w:r>
      <w:r>
        <w:rPr>
          <w:rFonts w:hint="eastAsia" w:ascii="仿宋_GB2312" w:hAnsi="Times New Roman" w:eastAsia="仿宋_GB2312"/>
          <w:color w:val="000000"/>
          <w:sz w:val="32"/>
          <w:szCs w:val="32"/>
          <w:shd w:val="clear" w:color="auto" w:fill="FFFFFF"/>
        </w:rPr>
        <w:t xml:space="preserve">  为规范本市公共资源交易活动，建立健全公共资源交易市场信用体系，依据《中华人民共和国招标投标法》及其实施条例、《中华人民共和国政府采购法》及其实施条例等法律法规和文件规定，结合本市实际，制定本办法。</w:t>
      </w:r>
    </w:p>
    <w:p>
      <w:pPr>
        <w:pStyle w:val="11"/>
        <w:keepNext w:val="0"/>
        <w:keepLines w:val="0"/>
        <w:pageBreakBefore w:val="0"/>
        <w:widowControl/>
        <w:kinsoku/>
        <w:wordWrap/>
        <w:overflowPunct/>
        <w:topLinePunct w:val="0"/>
        <w:autoSpaceDE/>
        <w:autoSpaceDN/>
        <w:bidi w:val="0"/>
        <w:adjustRightInd/>
        <w:spacing w:line="590" w:lineRule="exact"/>
        <w:ind w:firstLine="627" w:firstLineChars="196"/>
        <w:jc w:val="both"/>
        <w:rPr>
          <w:rFonts w:ascii="仿宋_GB2312" w:hAnsi="Times New Roman" w:eastAsia="仿宋_GB2312"/>
          <w:color w:val="000000"/>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第二条</w:t>
      </w:r>
      <w:r>
        <w:rPr>
          <w:rFonts w:hint="eastAsia" w:ascii="仿宋_GB2312" w:hAnsi="Times New Roman" w:eastAsia="仿宋_GB2312"/>
          <w:b/>
          <w:bCs/>
          <w:color w:val="000000"/>
          <w:sz w:val="32"/>
          <w:szCs w:val="32"/>
          <w:shd w:val="clear" w:color="auto" w:fill="FFFFFF"/>
        </w:rPr>
        <w:t xml:space="preserve"> </w:t>
      </w:r>
      <w:r>
        <w:rPr>
          <w:rFonts w:hint="eastAsia" w:ascii="仿宋_GB2312" w:hAnsi="Times New Roman" w:eastAsia="仿宋_GB2312"/>
          <w:color w:val="000000"/>
          <w:sz w:val="32"/>
          <w:szCs w:val="32"/>
          <w:shd w:val="clear" w:color="auto" w:fill="FFFFFF"/>
        </w:rPr>
        <w:t xml:space="preserve"> 本办法适用于本市范围内公共资源交易市场竞争主体不良行为的记录和披露管理。</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_GB2312" w:hAnsi="Times New Roman" w:eastAsia="仿宋_GB2312"/>
          <w:color w:val="000000"/>
          <w:sz w:val="32"/>
          <w:szCs w:val="32"/>
          <w:shd w:val="clear" w:color="auto" w:fill="FFFFFF"/>
        </w:rPr>
      </w:pPr>
      <w:r>
        <w:rPr>
          <w:rFonts w:hint="eastAsia" w:ascii="仿宋_GB2312" w:hAnsi="Times New Roman" w:eastAsia="仿宋_GB2312"/>
          <w:color w:val="000000"/>
          <w:sz w:val="32"/>
          <w:szCs w:val="32"/>
          <w:shd w:val="clear" w:color="auto" w:fill="FFFFFF"/>
        </w:rPr>
        <w:t>本办法所称公共资源交易市场竞争主体（以下简称竞争主体）是指投标人（供应商）、受让方（竞买人）、中介机构等主体（包括法人、其他组织和自然人）。</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jc w:val="both"/>
        <w:rPr>
          <w:rFonts w:ascii="仿宋_GB2312" w:hAnsi="Times New Roman" w:eastAsia="仿宋_GB2312"/>
          <w:color w:val="000000"/>
          <w:sz w:val="32"/>
          <w:szCs w:val="32"/>
          <w:shd w:val="clear" w:color="auto" w:fill="FFFFFF"/>
        </w:rPr>
      </w:pPr>
      <w:r>
        <w:rPr>
          <w:rFonts w:hint="eastAsia" w:ascii="仿宋_GB2312" w:hAnsi="Times New Roman" w:eastAsia="仿宋_GB2312"/>
          <w:color w:val="000000"/>
          <w:sz w:val="32"/>
          <w:szCs w:val="32"/>
          <w:shd w:val="clear" w:color="auto" w:fill="FFFFFF"/>
        </w:rPr>
        <w:t>本办法所称不良行为是指本市范围内从事公共资源交易活动的竞争主体在公共资源交易活动及合同履约过程中违反法律、法规、规章及规范性文件的规定以及其他扰乱市场秩序的行为。</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_GB2312" w:hAnsi="Times New Roman" w:eastAsia="仿宋_GB2312"/>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第三条</w:t>
      </w:r>
      <w:r>
        <w:rPr>
          <w:rFonts w:hint="eastAsia" w:ascii="仿宋_GB2312" w:hAnsi="Times New Roman" w:eastAsia="仿宋_GB2312"/>
          <w:color w:val="000000"/>
          <w:sz w:val="32"/>
          <w:szCs w:val="32"/>
          <w:shd w:val="clear" w:color="auto" w:fill="FFFFFF"/>
        </w:rPr>
        <w:t xml:space="preserve">  不良行为的记录与披露应当遵循客观公正、过责相当、量责一致、惩教并重的原则。</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_GB2312" w:hAnsi="Times New Roman" w:eastAsia="仿宋_GB2312"/>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第四条</w:t>
      </w:r>
      <w:r>
        <w:rPr>
          <w:rFonts w:hint="eastAsia" w:ascii="仿宋_GB2312" w:hAnsi="Times New Roman" w:eastAsia="仿宋_GB2312"/>
          <w:sz w:val="32"/>
          <w:szCs w:val="32"/>
          <w:shd w:val="clear" w:color="auto" w:fill="FFFFFF"/>
        </w:rPr>
        <w:t xml:space="preserve">  市、县（区）公共资源交易综合管理部门（以下简称综合管理部门）</w:t>
      </w:r>
      <w:r>
        <w:rPr>
          <w:rFonts w:hint="eastAsia" w:ascii="仿宋_GB2312" w:hAnsi="Times New Roman" w:eastAsia="仿宋_GB2312"/>
          <w:color w:val="000000"/>
          <w:sz w:val="32"/>
          <w:szCs w:val="32"/>
          <w:shd w:val="clear" w:color="auto" w:fill="FFFFFF"/>
        </w:rPr>
        <w:t>按照职责权限负责建立本层级不良行为信息档案，并对不良行为信息记录与披露进行监督和管理。</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jc w:val="both"/>
        <w:rPr>
          <w:rFonts w:ascii="仿宋_GB2312" w:hAnsi="Times New Roman" w:eastAsia="仿宋_GB2312"/>
          <w:color w:val="000000"/>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第五条</w:t>
      </w:r>
      <w:r>
        <w:rPr>
          <w:rFonts w:hint="eastAsia" w:ascii="仿宋_GB2312" w:hAnsi="Times New Roman" w:eastAsia="仿宋_GB2312"/>
          <w:color w:val="000000"/>
          <w:sz w:val="32"/>
          <w:szCs w:val="32"/>
          <w:shd w:val="clear" w:color="auto" w:fill="FFFFFF"/>
        </w:rPr>
        <w:t xml:space="preserve">  《宿州市公共资源交易市场竞争主体不良行为</w:t>
      </w:r>
    </w:p>
    <w:p>
      <w:pPr>
        <w:pStyle w:val="11"/>
        <w:keepNext w:val="0"/>
        <w:keepLines w:val="0"/>
        <w:pageBreakBefore w:val="0"/>
        <w:widowControl/>
        <w:kinsoku/>
        <w:wordWrap/>
        <w:overflowPunct/>
        <w:topLinePunct w:val="0"/>
        <w:autoSpaceDE/>
        <w:autoSpaceDN/>
        <w:bidi w:val="0"/>
        <w:adjustRightInd/>
        <w:spacing w:line="590" w:lineRule="exact"/>
        <w:jc w:val="both"/>
        <w:rPr>
          <w:rFonts w:hint="eastAsia" w:ascii="仿宋_GB2312" w:hAnsi="Times New Roman" w:eastAsia="仿宋_GB2312"/>
          <w:color w:val="000000"/>
          <w:sz w:val="32"/>
          <w:szCs w:val="32"/>
          <w:shd w:val="clear" w:color="auto" w:fill="FFFFFF"/>
        </w:rPr>
      </w:pPr>
      <w:r>
        <w:rPr>
          <w:rFonts w:hint="eastAsia" w:ascii="仿宋_GB2312" w:hAnsi="Times New Roman" w:eastAsia="仿宋_GB2312"/>
          <w:color w:val="000000"/>
          <w:sz w:val="32"/>
          <w:szCs w:val="32"/>
          <w:shd w:val="clear" w:color="auto" w:fill="FFFFFF"/>
        </w:rPr>
        <w:t>认定标准》是综合管理部门开展不良行为记录的标准。</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jc w:val="both"/>
        <w:rPr>
          <w:rFonts w:ascii="仿宋_GB2312" w:hAnsi="Times New Roman" w:eastAsia="仿宋_GB2312"/>
          <w:color w:val="000000"/>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第六条</w:t>
      </w:r>
      <w:r>
        <w:rPr>
          <w:rFonts w:hint="eastAsia" w:ascii="仿宋_GB2312" w:hAnsi="Times New Roman" w:eastAsia="仿宋_GB2312"/>
          <w:b/>
          <w:bCs/>
          <w:color w:val="000000"/>
          <w:sz w:val="32"/>
          <w:szCs w:val="32"/>
          <w:shd w:val="clear" w:color="auto" w:fill="FFFFFF"/>
        </w:rPr>
        <w:t xml:space="preserve"> </w:t>
      </w:r>
      <w:r>
        <w:rPr>
          <w:rFonts w:hint="eastAsia" w:ascii="仿宋_GB2312" w:hAnsi="Times New Roman" w:eastAsia="仿宋_GB2312"/>
          <w:color w:val="000000"/>
          <w:sz w:val="32"/>
          <w:szCs w:val="32"/>
          <w:shd w:val="clear" w:color="auto" w:fill="FFFFFF"/>
        </w:rPr>
        <w:t xml:space="preserve"> 不良行为记录采用</w:t>
      </w:r>
      <w:r>
        <w:rPr>
          <w:rFonts w:hint="eastAsia" w:ascii="仿宋_GB2312" w:hAnsi="Times New Roman" w:eastAsia="仿宋_GB2312"/>
          <w:sz w:val="32"/>
          <w:szCs w:val="32"/>
          <w:shd w:val="clear" w:color="auto" w:fill="FFFFFF"/>
        </w:rPr>
        <w:t>计分制</w:t>
      </w:r>
      <w:r>
        <w:rPr>
          <w:rFonts w:hint="eastAsia" w:ascii="仿宋_GB2312" w:hAnsi="Times New Roman" w:eastAsia="仿宋_GB2312"/>
          <w:color w:val="000000"/>
          <w:sz w:val="32"/>
          <w:szCs w:val="32"/>
          <w:shd w:val="clear" w:color="auto" w:fill="FFFFFF"/>
        </w:rPr>
        <w:t>。两年为一个计分周期。已被综合管理部门记录不良行为的竞争主体，自不良行为记分之日起两年内再次被发现存在不良行为的，计</w:t>
      </w:r>
      <w:r>
        <w:rPr>
          <w:rFonts w:hint="eastAsia" w:ascii="仿宋_GB2312" w:hAnsi="Times New Roman" w:eastAsia="仿宋_GB2312"/>
          <w:sz w:val="32"/>
          <w:szCs w:val="32"/>
          <w:shd w:val="clear" w:color="auto" w:fill="FFFFFF"/>
        </w:rPr>
        <w:t>分</w:t>
      </w:r>
      <w:r>
        <w:rPr>
          <w:rFonts w:hint="eastAsia" w:ascii="仿宋_GB2312" w:hAnsi="Times New Roman" w:eastAsia="仿宋_GB2312"/>
          <w:color w:val="000000"/>
          <w:sz w:val="32"/>
          <w:szCs w:val="32"/>
          <w:shd w:val="clear" w:color="auto" w:fill="FFFFFF"/>
        </w:rPr>
        <w:t>累加。</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jc w:val="both"/>
        <w:rPr>
          <w:rFonts w:ascii="仿宋_GB2312" w:hAnsi="Times New Roman" w:eastAsia="仿宋_GB2312"/>
          <w:color w:val="000000"/>
          <w:sz w:val="32"/>
          <w:szCs w:val="32"/>
        </w:rPr>
      </w:pPr>
      <w:r>
        <w:rPr>
          <w:rFonts w:hint="eastAsia" w:ascii="方正楷体_GBK" w:hAnsi="方正楷体_GBK" w:eastAsia="方正楷体_GBK" w:cs="方正楷体_GBK"/>
          <w:b w:val="0"/>
          <w:bCs w:val="0"/>
          <w:color w:val="000000"/>
          <w:sz w:val="32"/>
          <w:szCs w:val="32"/>
          <w:shd w:val="clear" w:color="auto" w:fill="FFFFFF"/>
        </w:rPr>
        <w:t>第七条</w:t>
      </w:r>
      <w:r>
        <w:rPr>
          <w:rFonts w:hint="eastAsia" w:ascii="仿宋_GB2312" w:hAnsi="Times New Roman" w:eastAsia="仿宋_GB2312"/>
          <w:b/>
          <w:bCs/>
          <w:color w:val="000000"/>
          <w:sz w:val="32"/>
          <w:szCs w:val="32"/>
          <w:shd w:val="clear" w:color="auto" w:fill="FFFFFF"/>
        </w:rPr>
        <w:t xml:space="preserve"> </w:t>
      </w:r>
      <w:r>
        <w:rPr>
          <w:rFonts w:hint="eastAsia" w:ascii="仿宋_GB2312" w:hAnsi="Times New Roman" w:eastAsia="仿宋_GB2312"/>
          <w:color w:val="000000"/>
          <w:sz w:val="32"/>
          <w:szCs w:val="32"/>
          <w:shd w:val="clear" w:color="auto" w:fill="FFFFFF"/>
        </w:rPr>
        <w:t xml:space="preserve"> 竞争主体不良行为处理方式为约</w:t>
      </w:r>
      <w:r>
        <w:rPr>
          <w:rFonts w:hint="eastAsia" w:ascii="仿宋_GB2312" w:hAnsi="Times New Roman" w:eastAsia="仿宋_GB2312"/>
          <w:sz w:val="32"/>
          <w:szCs w:val="32"/>
          <w:shd w:val="clear" w:color="auto" w:fill="FFFFFF"/>
        </w:rPr>
        <w:t>谈、书面告知</w:t>
      </w:r>
      <w:r>
        <w:rPr>
          <w:rFonts w:hint="eastAsia" w:ascii="仿宋_GB2312" w:hAnsi="Times New Roman" w:eastAsia="仿宋_GB2312"/>
          <w:color w:val="000000"/>
          <w:sz w:val="32"/>
          <w:szCs w:val="32"/>
          <w:shd w:val="clear" w:color="auto" w:fill="FFFFFF"/>
        </w:rPr>
        <w:t>和披露。首次发生且记分5分（含）以下的，组织约谈；首次发生且记分5分以上10分（含）以下的，</w:t>
      </w:r>
      <w:r>
        <w:rPr>
          <w:rFonts w:hint="eastAsia" w:ascii="仿宋_GB2312" w:hAnsi="Times New Roman" w:eastAsia="仿宋_GB2312"/>
          <w:sz w:val="32"/>
          <w:szCs w:val="32"/>
          <w:shd w:val="clear" w:color="auto" w:fill="FFFFFF"/>
        </w:rPr>
        <w:t>书面告知；一个计分周期内</w:t>
      </w:r>
      <w:r>
        <w:rPr>
          <w:rFonts w:hint="eastAsia" w:ascii="仿宋_GB2312" w:hAnsi="Times New Roman" w:eastAsia="仿宋_GB2312"/>
          <w:color w:val="000000"/>
          <w:sz w:val="32"/>
          <w:szCs w:val="32"/>
          <w:shd w:val="clear" w:color="auto" w:fill="FFFFFF"/>
        </w:rPr>
        <w:t>累计记分5分以上10分（含）以下的，上网披露，披露期为3个月；累计记分10分以上15分（含）以下的，上网披露，披露期为6个月；累计记分15分以上20分（含）以下的，上网披露，披露期为12个月；累计记分20分以上的，上网披露，披露期为2年。</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jc w:val="both"/>
        <w:rPr>
          <w:rFonts w:ascii="仿宋_GB2312" w:hAnsi="Times New Roman" w:eastAsia="仿宋_GB2312"/>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第八条</w:t>
      </w:r>
      <w:r>
        <w:rPr>
          <w:rFonts w:hint="eastAsia" w:ascii="仿宋_GB2312" w:hAnsi="Times New Roman" w:eastAsia="仿宋_GB2312"/>
          <w:color w:val="000000"/>
          <w:sz w:val="32"/>
          <w:szCs w:val="32"/>
          <w:shd w:val="clear" w:color="auto" w:fill="FFFFFF"/>
        </w:rPr>
        <w:t xml:space="preserve">  </w:t>
      </w:r>
      <w:r>
        <w:rPr>
          <w:rFonts w:hint="eastAsia" w:ascii="仿宋_GB2312" w:hAnsi="Times New Roman" w:eastAsia="仿宋_GB2312"/>
          <w:sz w:val="32"/>
          <w:szCs w:val="32"/>
          <w:shd w:val="clear" w:color="auto" w:fill="FFFFFF"/>
        </w:rPr>
        <w:t>因不良行为被计分的竞争主体，应在披露期届满前15日内，将不良行为的改正情况书面报告综合管理部门。逾期不报或改正不符合要求的，前一计分周期的分数，自动转入下一计分周期。计分周期满两年且已改正合格的，计分归零。</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_GB2312" w:hAnsi="Times New Roman" w:eastAsia="仿宋_GB2312"/>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第九条</w:t>
      </w:r>
      <w:r>
        <w:rPr>
          <w:rFonts w:hint="eastAsia" w:ascii="仿宋_GB2312" w:hAnsi="Times New Roman" w:eastAsia="仿宋_GB2312"/>
          <w:b/>
          <w:bCs/>
          <w:color w:val="000000"/>
          <w:sz w:val="32"/>
          <w:szCs w:val="32"/>
          <w:shd w:val="clear" w:color="auto" w:fill="FFFFFF"/>
        </w:rPr>
        <w:t xml:space="preserve"> </w:t>
      </w:r>
      <w:r>
        <w:rPr>
          <w:rFonts w:hint="eastAsia" w:ascii="仿宋_GB2312" w:hAnsi="Times New Roman" w:eastAsia="仿宋_GB2312"/>
          <w:color w:val="000000"/>
          <w:sz w:val="32"/>
          <w:szCs w:val="32"/>
          <w:shd w:val="clear" w:color="auto" w:fill="FFFFFF"/>
        </w:rPr>
        <w:t xml:space="preserve"> 不良行为信息的披露媒介为市、县（区）公共资源交易综合管理部门、公共资源交易中心门户网站</w:t>
      </w:r>
      <w:r>
        <w:rPr>
          <w:rFonts w:hint="eastAsia" w:ascii="仿宋_GB2312" w:hAnsi="Times New Roman" w:eastAsia="仿宋_GB2312"/>
          <w:sz w:val="32"/>
          <w:szCs w:val="32"/>
          <w:shd w:val="clear" w:color="auto" w:fill="FFFFFF"/>
        </w:rPr>
        <w:t>、安徽省公共资源交易监管网</w:t>
      </w:r>
      <w:r>
        <w:rPr>
          <w:rFonts w:hint="eastAsia" w:ascii="仿宋_GB2312" w:hAnsi="Times New Roman" w:eastAsia="仿宋_GB2312"/>
          <w:sz w:val="32"/>
          <w:szCs w:val="32"/>
        </w:rPr>
        <w:t>、安徽省工程建设监管和信用管理平台</w:t>
      </w:r>
      <w:r>
        <w:rPr>
          <w:rFonts w:hint="eastAsia" w:ascii="仿宋_GB2312" w:hAnsi="Times New Roman" w:eastAsia="仿宋_GB2312"/>
          <w:color w:val="000000"/>
          <w:sz w:val="32"/>
          <w:szCs w:val="32"/>
        </w:rPr>
        <w:t>及其他媒体。</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_GB2312" w:hAnsi="Times New Roman" w:eastAsia="仿宋_GB2312"/>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第十条</w:t>
      </w:r>
      <w:r>
        <w:rPr>
          <w:rFonts w:hint="eastAsia" w:ascii="仿宋_GB2312" w:hAnsi="Times New Roman" w:eastAsia="仿宋_GB2312"/>
          <w:color w:val="000000"/>
          <w:sz w:val="32"/>
          <w:szCs w:val="32"/>
          <w:shd w:val="clear" w:color="auto" w:fill="FFFFFF"/>
        </w:rPr>
        <w:t xml:space="preserve">  </w:t>
      </w:r>
      <w:r>
        <w:rPr>
          <w:rFonts w:hint="eastAsia" w:ascii="仿宋_GB2312" w:hAnsi="Times New Roman" w:eastAsia="仿宋_GB2312"/>
          <w:sz w:val="32"/>
          <w:szCs w:val="32"/>
          <w:shd w:val="clear" w:color="auto" w:fill="FFFFFF"/>
        </w:rPr>
        <w:t>市、县（区）综合管理部门之间、综合管理部</w:t>
      </w:r>
    </w:p>
    <w:p>
      <w:pPr>
        <w:pStyle w:val="11"/>
        <w:keepNext w:val="0"/>
        <w:keepLines w:val="0"/>
        <w:pageBreakBefore w:val="0"/>
        <w:widowControl/>
        <w:kinsoku/>
        <w:wordWrap/>
        <w:overflowPunct/>
        <w:topLinePunct w:val="0"/>
        <w:autoSpaceDE/>
        <w:autoSpaceDN/>
        <w:bidi w:val="0"/>
        <w:adjustRightInd/>
        <w:spacing w:line="590" w:lineRule="exact"/>
        <w:rPr>
          <w:rFonts w:ascii="仿宋_GB2312" w:hAnsi="Times New Roman" w:eastAsia="仿宋_GB2312"/>
          <w:sz w:val="32"/>
          <w:szCs w:val="32"/>
        </w:rPr>
      </w:pPr>
      <w:r>
        <w:rPr>
          <w:rFonts w:hint="eastAsia" w:ascii="仿宋_GB2312" w:hAnsi="Times New Roman" w:eastAsia="仿宋_GB2312"/>
          <w:sz w:val="32"/>
          <w:szCs w:val="32"/>
          <w:shd w:val="clear" w:color="auto" w:fill="FFFFFF"/>
        </w:rPr>
        <w:t>门与相关行业管理部门之间应当建立不良行为信息共享机制，完善“一处失信、处处受制”的信用体</w:t>
      </w:r>
      <w:r>
        <w:rPr>
          <w:rFonts w:hint="eastAsia" w:ascii="仿宋_GB2312" w:hAnsi="Times New Roman" w:eastAsia="仿宋_GB2312"/>
          <w:color w:val="000000"/>
          <w:sz w:val="32"/>
          <w:szCs w:val="32"/>
          <w:shd w:val="clear" w:color="auto" w:fill="FFFFFF"/>
        </w:rPr>
        <w:t>系联建机制。</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jc w:val="both"/>
        <w:rPr>
          <w:rFonts w:ascii="仿宋_GB2312" w:hAnsi="Times New Roman" w:eastAsia="仿宋_GB2312"/>
          <w:sz w:val="32"/>
          <w:szCs w:val="32"/>
        </w:rPr>
      </w:pPr>
      <w:r>
        <w:rPr>
          <w:rFonts w:hint="eastAsia" w:ascii="方正楷体_GBK" w:hAnsi="方正楷体_GBK" w:eastAsia="方正楷体_GBK" w:cs="方正楷体_GBK"/>
          <w:b w:val="0"/>
          <w:bCs w:val="0"/>
          <w:color w:val="000000"/>
          <w:sz w:val="32"/>
          <w:szCs w:val="32"/>
          <w:shd w:val="clear" w:color="auto" w:fill="FFFFFF"/>
        </w:rPr>
        <w:t>第十一条</w:t>
      </w:r>
      <w:r>
        <w:rPr>
          <w:rFonts w:hint="eastAsia" w:ascii="仿宋_GB2312" w:hAnsi="Times New Roman" w:eastAsia="仿宋_GB2312"/>
          <w:color w:val="000000"/>
          <w:sz w:val="32"/>
          <w:szCs w:val="32"/>
          <w:shd w:val="clear" w:color="auto" w:fill="FFFFFF"/>
        </w:rPr>
        <w:t xml:space="preserve">  不良行为记录是对竞争主体信用评定的重要依据。各项目单位应在公共资源交易活动中加强信用评定结果的运用。</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hint="eastAsia" w:ascii="仿宋_GB2312" w:hAnsi="Times New Roman" w:eastAsia="仿宋_GB2312"/>
          <w:color w:val="000000"/>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第十二条</w:t>
      </w:r>
      <w:r>
        <w:rPr>
          <w:rFonts w:hint="eastAsia" w:ascii="仿宋_GB2312" w:hAnsi="Times New Roman" w:eastAsia="仿宋_GB2312"/>
          <w:color w:val="000000"/>
          <w:sz w:val="32"/>
          <w:szCs w:val="32"/>
          <w:shd w:val="clear" w:color="auto" w:fill="FFFFFF"/>
        </w:rPr>
        <w:t xml:space="preserve">  在不良行为记录和披露不良行为信息工作中，违反本办法规定，有滥用职权、玩忽职守、徇私舞弊、索贿受贿行为的，将依据相关规定追究有关责任人员责任；构成犯罪的，移送司法机关依法处理。</w:t>
      </w:r>
    </w:p>
    <w:p>
      <w:pPr>
        <w:pStyle w:val="11"/>
        <w:keepNext w:val="0"/>
        <w:keepLines w:val="0"/>
        <w:pageBreakBefore w:val="0"/>
        <w:widowControl/>
        <w:kinsoku/>
        <w:wordWrap/>
        <w:overflowPunct/>
        <w:topLinePunct w:val="0"/>
        <w:autoSpaceDE/>
        <w:autoSpaceDN/>
        <w:bidi w:val="0"/>
        <w:adjustRightInd/>
        <w:spacing w:line="590" w:lineRule="exact"/>
        <w:ind w:firstLine="640" w:firstLineChars="200"/>
        <w:rPr>
          <w:rFonts w:ascii="仿宋" w:hAnsi="仿宋" w:eastAsia="仿宋" w:cs="仿宋"/>
          <w:b/>
          <w:bCs/>
          <w:color w:val="000000"/>
          <w:sz w:val="32"/>
          <w:szCs w:val="32"/>
          <w:shd w:val="clear" w:color="auto" w:fill="FFFFFF"/>
        </w:rPr>
      </w:pPr>
      <w:r>
        <w:rPr>
          <w:rFonts w:hint="eastAsia" w:ascii="方正楷体_GBK" w:hAnsi="方正楷体_GBK" w:eastAsia="方正楷体_GBK" w:cs="方正楷体_GBK"/>
          <w:b w:val="0"/>
          <w:bCs w:val="0"/>
          <w:color w:val="000000"/>
          <w:sz w:val="32"/>
          <w:szCs w:val="32"/>
          <w:shd w:val="clear" w:color="auto" w:fill="FFFFFF"/>
        </w:rPr>
        <w:t>第十三条</w:t>
      </w:r>
      <w:r>
        <w:rPr>
          <w:rFonts w:hint="eastAsia" w:ascii="仿宋_GB2312" w:hAnsi="Times New Roman" w:eastAsia="仿宋_GB2312"/>
          <w:color w:val="000000"/>
          <w:sz w:val="32"/>
          <w:szCs w:val="32"/>
          <w:shd w:val="clear" w:color="auto" w:fill="FFFFFF"/>
        </w:rPr>
        <w:t xml:space="preserve">  本办法自发布之日起施行。</w:t>
      </w: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p>
    <w:p>
      <w:pPr>
        <w:pStyle w:val="11"/>
        <w:keepNext w:val="0"/>
        <w:keepLines w:val="0"/>
        <w:pageBreakBefore w:val="0"/>
        <w:widowControl/>
        <w:kinsoku/>
        <w:wordWrap/>
        <w:overflowPunct/>
        <w:topLinePunct w:val="0"/>
        <w:autoSpaceDE/>
        <w:autoSpaceDN/>
        <w:bidi w:val="0"/>
        <w:adjustRightInd/>
        <w:spacing w:line="590" w:lineRule="exact"/>
        <w:rPr>
          <w:rFonts w:hint="eastAsia" w:ascii="仿宋_GB2312" w:hAnsi="方正黑体简体" w:eastAsia="仿宋_GB2312" w:cs="方正黑体简体"/>
          <w:color w:val="000000"/>
          <w:sz w:val="30"/>
          <w:szCs w:val="30"/>
          <w:shd w:val="clear" w:color="auto" w:fill="FFFFFF"/>
        </w:rPr>
      </w:pPr>
      <w:r>
        <w:rPr>
          <w:rFonts w:hint="eastAsia" w:ascii="仿宋_GB2312" w:hAnsi="方正黑体简体" w:eastAsia="仿宋_GB2312" w:cs="方正黑体简体"/>
          <w:color w:val="000000"/>
          <w:sz w:val="30"/>
          <w:szCs w:val="30"/>
          <w:shd w:val="clear" w:color="auto" w:fill="FFFFFF"/>
        </w:rPr>
        <w:t>附件</w:t>
      </w:r>
    </w:p>
    <w:p>
      <w:pPr>
        <w:pStyle w:val="11"/>
        <w:keepNext w:val="0"/>
        <w:keepLines w:val="0"/>
        <w:pageBreakBefore w:val="0"/>
        <w:widowControl/>
        <w:kinsoku/>
        <w:wordWrap/>
        <w:overflowPunct/>
        <w:topLinePunct w:val="0"/>
        <w:autoSpaceDE/>
        <w:autoSpaceDN/>
        <w:bidi w:val="0"/>
        <w:adjustRightInd/>
        <w:spacing w:line="590" w:lineRule="exact"/>
        <w:jc w:val="center"/>
        <w:rPr>
          <w:rFonts w:hint="eastAsia" w:ascii="方正小标宋简体" w:hAnsi="仿宋" w:eastAsia="方正小标宋简体" w:cs="仿宋"/>
          <w:bCs/>
          <w:color w:val="000000"/>
          <w:sz w:val="44"/>
          <w:szCs w:val="44"/>
          <w:shd w:val="clear" w:color="auto" w:fill="FFFFFF"/>
        </w:rPr>
      </w:pPr>
      <w:r>
        <w:rPr>
          <w:rFonts w:hint="eastAsia" w:ascii="方正小标宋简体" w:hAnsi="仿宋" w:eastAsia="方正小标宋简体" w:cs="仿宋"/>
          <w:bCs/>
          <w:color w:val="000000"/>
          <w:sz w:val="44"/>
          <w:szCs w:val="44"/>
          <w:shd w:val="clear" w:color="auto" w:fill="FFFFFF"/>
        </w:rPr>
        <w:t>《宿州市公共资源交易市场竞争主体</w:t>
      </w:r>
    </w:p>
    <w:p>
      <w:pPr>
        <w:pStyle w:val="11"/>
        <w:keepNext w:val="0"/>
        <w:keepLines w:val="0"/>
        <w:pageBreakBefore w:val="0"/>
        <w:widowControl/>
        <w:kinsoku/>
        <w:wordWrap/>
        <w:overflowPunct/>
        <w:topLinePunct w:val="0"/>
        <w:autoSpaceDE/>
        <w:autoSpaceDN/>
        <w:bidi w:val="0"/>
        <w:adjustRightInd/>
        <w:spacing w:line="590" w:lineRule="exact"/>
        <w:jc w:val="center"/>
        <w:rPr>
          <w:rFonts w:ascii="方正小标宋简体" w:hAnsi="仿宋" w:eastAsia="方正小标宋简体" w:cs="仿宋"/>
          <w:bCs/>
          <w:color w:val="000000"/>
          <w:sz w:val="44"/>
          <w:szCs w:val="44"/>
          <w:shd w:val="clear" w:color="auto" w:fill="FFFFFF"/>
        </w:rPr>
      </w:pPr>
      <w:r>
        <w:rPr>
          <w:rFonts w:hint="eastAsia" w:ascii="方正小标宋简体" w:hAnsi="仿宋" w:eastAsia="方正小标宋简体" w:cs="仿宋"/>
          <w:bCs/>
          <w:color w:val="000000"/>
          <w:sz w:val="44"/>
          <w:szCs w:val="44"/>
          <w:shd w:val="clear" w:color="auto" w:fill="FFFFFF"/>
        </w:rPr>
        <w:t>不良行为认定标准》</w:t>
      </w:r>
    </w:p>
    <w:p>
      <w:pPr>
        <w:pStyle w:val="11"/>
        <w:keepNext w:val="0"/>
        <w:keepLines w:val="0"/>
        <w:pageBreakBefore w:val="0"/>
        <w:widowControl/>
        <w:kinsoku/>
        <w:wordWrap/>
        <w:overflowPunct/>
        <w:topLinePunct w:val="0"/>
        <w:autoSpaceDE/>
        <w:autoSpaceDN/>
        <w:bidi w:val="0"/>
        <w:adjustRightInd/>
        <w:spacing w:line="590" w:lineRule="exact"/>
        <w:jc w:val="center"/>
        <w:rPr>
          <w:rFonts w:ascii="仿宋" w:hAnsi="仿宋" w:eastAsia="仿宋" w:cs="仿宋"/>
          <w:color w:val="000000"/>
          <w:sz w:val="30"/>
          <w:szCs w:val="30"/>
          <w:shd w:val="clear" w:color="auto" w:fill="FFFFFF"/>
        </w:rPr>
      </w:pPr>
    </w:p>
    <w:tbl>
      <w:tblPr>
        <w:tblStyle w:val="12"/>
        <w:tblW w:w="9073" w:type="dxa"/>
        <w:tblInd w:w="0" w:type="dxa"/>
        <w:tblLayout w:type="fixed"/>
        <w:tblCellMar>
          <w:top w:w="15" w:type="dxa"/>
          <w:left w:w="15" w:type="dxa"/>
          <w:bottom w:w="15" w:type="dxa"/>
          <w:right w:w="15" w:type="dxa"/>
        </w:tblCellMar>
      </w:tblPr>
      <w:tblGrid>
        <w:gridCol w:w="993"/>
        <w:gridCol w:w="1417"/>
        <w:gridCol w:w="5529"/>
        <w:gridCol w:w="1134"/>
      </w:tblGrid>
      <w:tr>
        <w:tblPrEx>
          <w:tblCellMar>
            <w:top w:w="15" w:type="dxa"/>
            <w:left w:w="15" w:type="dxa"/>
            <w:bottom w:w="15" w:type="dxa"/>
            <w:right w:w="15" w:type="dxa"/>
          </w:tblCellMar>
        </w:tblPrEx>
        <w:trPr>
          <w:trHeight w:val="785" w:hRule="atLeast"/>
        </w:trPr>
        <w:tc>
          <w:tcPr>
            <w:tcW w:w="9073" w:type="dxa"/>
            <w:gridSpan w:val="4"/>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30"/>
                <w:szCs w:val="30"/>
              </w:rPr>
            </w:pPr>
            <w:r>
              <w:rPr>
                <w:rFonts w:hint="eastAsia" w:ascii="仿宋" w:hAnsi="仿宋" w:eastAsia="仿宋" w:cs="仿宋"/>
                <w:b/>
                <w:bCs/>
                <w:color w:val="000000"/>
                <w:kern w:val="0"/>
                <w:sz w:val="30"/>
                <w:szCs w:val="30"/>
              </w:rPr>
              <w:t>宿州市公共资源交易市场竞争主体不良行为认定标准</w:t>
            </w:r>
            <w:r>
              <w:rPr>
                <w:rStyle w:val="16"/>
                <w:rFonts w:eastAsia="仿宋"/>
              </w:rPr>
              <w:t xml:space="preserve"> </w:t>
            </w:r>
          </w:p>
        </w:tc>
      </w:tr>
      <w:tr>
        <w:tblPrEx>
          <w:tblCellMar>
            <w:top w:w="15" w:type="dxa"/>
            <w:left w:w="15" w:type="dxa"/>
            <w:bottom w:w="15" w:type="dxa"/>
            <w:right w:w="15" w:type="dxa"/>
          </w:tblCellMar>
        </w:tblPrEx>
        <w:trPr>
          <w:trHeight w:val="574" w:hRule="atLeast"/>
        </w:trPr>
        <w:tc>
          <w:tcPr>
            <w:tcW w:w="993"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行为主体</w:t>
            </w:r>
          </w:p>
        </w:tc>
        <w:tc>
          <w:tcPr>
            <w:tcW w:w="1417"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行为类别</w:t>
            </w:r>
          </w:p>
        </w:tc>
        <w:tc>
          <w:tcPr>
            <w:tcW w:w="5529"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认定标准</w:t>
            </w:r>
          </w:p>
        </w:tc>
        <w:tc>
          <w:tcPr>
            <w:tcW w:w="1134"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记分标准</w:t>
            </w:r>
          </w:p>
        </w:tc>
      </w:tr>
      <w:tr>
        <w:tblPrEx>
          <w:tblCellMar>
            <w:top w:w="15" w:type="dxa"/>
            <w:left w:w="15" w:type="dxa"/>
            <w:bottom w:w="15" w:type="dxa"/>
            <w:right w:w="15" w:type="dxa"/>
          </w:tblCellMar>
        </w:tblPrEx>
        <w:trPr>
          <w:trHeight w:val="668" w:hRule="atLeast"/>
        </w:trPr>
        <w:tc>
          <w:tcPr>
            <w:tcW w:w="993" w:type="dxa"/>
            <w:vMerge w:val="restart"/>
            <w:tcBorders>
              <w:top w:val="single" w:color="auto" w:sz="4" w:space="0"/>
              <w:left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竞争主体</w:t>
            </w:r>
          </w:p>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无资质</w:t>
            </w:r>
            <w:r>
              <w:rPr>
                <w:rFonts w:ascii="仿宋" w:hAnsi="仿宋" w:eastAsia="仿宋" w:cs="仿宋"/>
                <w:color w:val="000000"/>
                <w:kern w:val="0"/>
                <w:sz w:val="24"/>
              </w:rPr>
              <w:t>/</w:t>
            </w:r>
            <w:r>
              <w:rPr>
                <w:rFonts w:hint="eastAsia" w:ascii="仿宋" w:hAnsi="仿宋" w:eastAsia="仿宋" w:cs="仿宋"/>
                <w:color w:val="000000"/>
                <w:kern w:val="0"/>
                <w:sz w:val="24"/>
              </w:rPr>
              <w:t>许可</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未取得相应资质或营业许可承揽工程的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5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超资质</w:t>
            </w:r>
            <w:r>
              <w:rPr>
                <w:rFonts w:ascii="仿宋" w:hAnsi="仿宋" w:eastAsia="仿宋" w:cs="仿宋"/>
                <w:color w:val="000000"/>
                <w:kern w:val="0"/>
                <w:sz w:val="24"/>
              </w:rPr>
              <w:t>/</w:t>
            </w:r>
            <w:r>
              <w:rPr>
                <w:rFonts w:hint="eastAsia" w:ascii="仿宋" w:hAnsi="仿宋" w:eastAsia="仿宋" w:cs="仿宋"/>
                <w:color w:val="000000"/>
                <w:kern w:val="0"/>
                <w:sz w:val="24"/>
              </w:rPr>
              <w:t>许可</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超越本单位资质等级或在营业许可范围外承揽工程的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6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出让（租）资格、资质</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出让或者出租资格、资质证书等方式，允许他人以本单位名义投标的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5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借用资格、</w:t>
            </w:r>
          </w:p>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资质</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通过受让或者租借等方式获取的资格、资质证书以他人名义投标的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3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投标造假</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资格预审过程中被发现存在弄虚作假行为的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29"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评审过程中被发现存在弄虚作假行为的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91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中标公示期内或者中标通知书发出前，被发现提供的项目经理建造师证书或无在建工程证明存在弄虚作假的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9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中标公示期内或者中标通知书发出前，被发现提供的单位相关证书存在弄虚作假的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9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中标公示期内或者中标通知书发出前，被发现提供虚假业绩，影响中标结果的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7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中标通知书发出后，被发现存在弄虚作假行为，经行政主管部门认定，影响中标结果的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4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B05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B05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B050"/>
                <w:kern w:val="0"/>
                <w:sz w:val="24"/>
              </w:rPr>
            </w:pPr>
            <w:r>
              <w:rPr>
                <w:rFonts w:hint="eastAsia" w:ascii="仿宋" w:hAnsi="仿宋" w:eastAsia="仿宋" w:cs="仿宋"/>
                <w:kern w:val="0"/>
                <w:sz w:val="24"/>
              </w:rPr>
              <w:t>提供虚假材料或无效证件，伪造、涂改证件，隐瞒在建工程情况和不良行为记录等行为的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B050"/>
                <w:kern w:val="0"/>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6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被发现存在其他弄虚作假行为的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kern w:val="0"/>
                <w:sz w:val="24"/>
              </w:rPr>
            </w:pPr>
            <w:r>
              <w:rPr>
                <w:rFonts w:hint="eastAsia" w:ascii="仿宋" w:hAnsi="仿宋" w:eastAsia="仿宋" w:cs="仿宋"/>
                <w:kern w:val="0"/>
                <w:sz w:val="24"/>
              </w:rPr>
              <w:t>视情节</w:t>
            </w:r>
          </w:p>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0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串通投标</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不同投标人投标文件异常一致、报价雷同或呈规律性差异、电子投标文件或提交投标保证金</w:t>
            </w:r>
            <w:r>
              <w:rPr>
                <w:rFonts w:ascii="仿宋" w:hAnsi="仿宋" w:eastAsia="仿宋" w:cs="仿宋"/>
                <w:color w:val="000000"/>
                <w:kern w:val="0"/>
                <w:sz w:val="24"/>
              </w:rPr>
              <w:t>MAC</w:t>
            </w:r>
            <w:r>
              <w:rPr>
                <w:rFonts w:hint="eastAsia" w:ascii="仿宋" w:hAnsi="仿宋" w:eastAsia="仿宋" w:cs="仿宋"/>
                <w:color w:val="000000"/>
                <w:kern w:val="0"/>
                <w:sz w:val="24"/>
              </w:rPr>
              <w:t>地址制作机器码相同、投标文件混装、不同单位投标文件由同一单位或者个人编制、委托同一单位或个人办理投标事宜、投标文件载明的项目管理成员为同一人等串通投标行为，但未中标的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189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不同投标人投标文件异常一致、报价雷同或呈规律性差异、电子投标文件或提交投标保证金</w:t>
            </w:r>
            <w:r>
              <w:rPr>
                <w:rFonts w:ascii="仿宋" w:hAnsi="仿宋" w:eastAsia="仿宋" w:cs="仿宋"/>
                <w:color w:val="000000"/>
                <w:kern w:val="0"/>
                <w:sz w:val="24"/>
              </w:rPr>
              <w:t>MAC</w:t>
            </w:r>
            <w:r>
              <w:rPr>
                <w:rFonts w:hint="eastAsia" w:ascii="仿宋" w:hAnsi="仿宋" w:eastAsia="仿宋" w:cs="仿宋"/>
                <w:color w:val="000000"/>
                <w:kern w:val="0"/>
                <w:sz w:val="24"/>
              </w:rPr>
              <w:t>地址制作机器码相同、投标文件混装、不同单位投标文件由同一单位或者个人编制、委托同一单位或个人办理投标事宜、投标文件载明的项目管理成员为同一人等串通投标行为，且中标的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873"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restart"/>
            <w:tcBorders>
              <w:top w:val="single" w:color="auto" w:sz="4" w:space="0"/>
              <w:left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干扰投标</w:t>
            </w:r>
          </w:p>
        </w:tc>
        <w:tc>
          <w:tcPr>
            <w:tcW w:w="5529" w:type="dxa"/>
            <w:tcBorders>
              <w:top w:val="single" w:color="auto"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下载交易文件并缴纳投标保证金后，不按招标文件规定时间提交弃标函，且无正当理由不参加投标的</w:t>
            </w:r>
          </w:p>
        </w:tc>
        <w:tc>
          <w:tcPr>
            <w:tcW w:w="1134" w:type="dxa"/>
            <w:tcBorders>
              <w:top w:val="single" w:color="auto"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806"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通过非正常渠道（未报名或者未下载招标文件）获取招标文件参与投标的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7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以畸高畸低的投标报价影响、干扰正常评审的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62"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不遵守开评标现场秩序，造成恶劣影响的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6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采用不正当手段竞争以及其他行为扰乱公共资源交易市场秩序，未造成重大影响的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14"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采用不正当手段竞争以及其他行为扰乱公共资源交易市场秩序，造成重大影响的（含取得中标资格的）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78"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电子招投标项目投标人恶意递交投标文件干扰电子招投标系统正常运行的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9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kern w:val="0"/>
                <w:sz w:val="24"/>
              </w:rPr>
            </w:pPr>
            <w:r>
              <w:rPr>
                <w:rFonts w:hint="eastAsia" w:ascii="仿宋" w:hAnsi="仿宋" w:eastAsia="仿宋" w:cs="仿宋"/>
                <w:sz w:val="24"/>
              </w:rPr>
              <w:t>在投标有效期截止时间前，撤销投标文件或放弃项目竞得资格的</w:t>
            </w:r>
          </w:p>
        </w:tc>
        <w:tc>
          <w:tcPr>
            <w:tcW w:w="1134"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kern w:val="0"/>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93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sz w:val="24"/>
              </w:rPr>
            </w:pPr>
            <w:r>
              <w:rPr>
                <w:rFonts w:hint="eastAsia" w:ascii="仿宋" w:hAnsi="仿宋" w:eastAsia="仿宋" w:cs="仿宋"/>
                <w:sz w:val="24"/>
              </w:rPr>
              <w:t>因在提交投标文件截止时间后送达、标书封装及电子投标文件不符合要求多次被废标，被认定为恶意弃标的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kern w:val="0"/>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78"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sz w:val="24"/>
              </w:rPr>
            </w:pPr>
            <w:r>
              <w:rPr>
                <w:rFonts w:hint="eastAsia" w:ascii="仿宋" w:hAnsi="仿宋" w:eastAsia="仿宋" w:cs="仿宋"/>
                <w:sz w:val="24"/>
              </w:rPr>
              <w:t>采取欺诈、隐瞒等手段影响转让方的选择以及转让合同签订的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kern w:val="0"/>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312"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left w:val="single" w:color="auto" w:sz="4" w:space="0"/>
              <w:bottom w:val="single" w:color="000000"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sz w:val="24"/>
              </w:rPr>
            </w:pPr>
            <w:r>
              <w:rPr>
                <w:rFonts w:hint="eastAsia" w:ascii="仿宋" w:hAnsi="仿宋" w:eastAsia="仿宋" w:cs="仿宋"/>
                <w:sz w:val="24"/>
              </w:rPr>
              <w:t>在竞价、竞买中，恶意串通压低价格造成国有资产流失的或者抬高标价后弃标的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B050"/>
                <w:kern w:val="0"/>
                <w:sz w:val="24"/>
              </w:rPr>
            </w:pPr>
            <w:r>
              <w:rPr>
                <w:rFonts w:hint="eastAsia" w:ascii="仿宋" w:hAnsi="仿宋" w:eastAsia="仿宋" w:cs="仿宋"/>
                <w:kern w:val="0"/>
                <w:sz w:val="24"/>
              </w:rPr>
              <w:t>记</w:t>
            </w:r>
            <w:r>
              <w:rPr>
                <w:rFonts w:ascii="仿宋" w:hAnsi="仿宋" w:eastAsia="仿宋" w:cs="仿宋"/>
                <w:kern w:val="0"/>
                <w:sz w:val="24"/>
              </w:rPr>
              <w:t>15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56"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tcBorders>
              <w:top w:val="single" w:color="000000" w:sz="4" w:space="0"/>
              <w:left w:val="single" w:color="auto"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恶意投标</w:t>
            </w:r>
          </w:p>
        </w:tc>
        <w:tc>
          <w:tcPr>
            <w:tcW w:w="5529"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投标报价为恶意报价，并被评标委员会因此否决投标的</w:t>
            </w:r>
          </w:p>
        </w:tc>
        <w:tc>
          <w:tcPr>
            <w:tcW w:w="1134"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82"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放弃中标</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中标</w:t>
            </w:r>
            <w:r>
              <w:rPr>
                <w:rFonts w:ascii="仿宋" w:hAnsi="仿宋" w:eastAsia="仿宋" w:cs="仿宋"/>
                <w:color w:val="000000"/>
                <w:kern w:val="0"/>
                <w:sz w:val="24"/>
              </w:rPr>
              <w:t>/</w:t>
            </w:r>
            <w:r>
              <w:rPr>
                <w:rFonts w:hint="eastAsia" w:ascii="仿宋" w:hAnsi="仿宋" w:eastAsia="仿宋" w:cs="仿宋"/>
                <w:color w:val="000000"/>
                <w:kern w:val="0"/>
                <w:sz w:val="24"/>
              </w:rPr>
              <w:t>成交通知书发出前放弃预中标</w:t>
            </w:r>
            <w:r>
              <w:rPr>
                <w:rFonts w:ascii="仿宋" w:hAnsi="仿宋" w:eastAsia="仿宋" w:cs="仿宋"/>
                <w:color w:val="000000"/>
                <w:kern w:val="0"/>
                <w:sz w:val="24"/>
              </w:rPr>
              <w:t>/</w:t>
            </w:r>
            <w:r>
              <w:rPr>
                <w:rFonts w:hint="eastAsia" w:ascii="仿宋" w:hAnsi="仿宋" w:eastAsia="仿宋" w:cs="仿宋"/>
                <w:color w:val="000000"/>
                <w:kern w:val="0"/>
                <w:sz w:val="24"/>
              </w:rPr>
              <w:t>成交资格的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32"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中标</w:t>
            </w:r>
            <w:r>
              <w:rPr>
                <w:rFonts w:ascii="仿宋" w:hAnsi="仿宋" w:eastAsia="仿宋" w:cs="仿宋"/>
                <w:color w:val="000000"/>
                <w:kern w:val="0"/>
                <w:sz w:val="24"/>
              </w:rPr>
              <w:t>/</w:t>
            </w:r>
            <w:r>
              <w:rPr>
                <w:rFonts w:hint="eastAsia" w:ascii="仿宋" w:hAnsi="仿宋" w:eastAsia="仿宋" w:cs="仿宋"/>
                <w:color w:val="000000"/>
                <w:kern w:val="0"/>
                <w:sz w:val="24"/>
              </w:rPr>
              <w:t>成交通知书发出后放弃中标</w:t>
            </w:r>
            <w:r>
              <w:rPr>
                <w:rFonts w:ascii="仿宋" w:hAnsi="仿宋" w:eastAsia="仿宋" w:cs="仿宋"/>
                <w:color w:val="000000"/>
                <w:kern w:val="0"/>
                <w:sz w:val="24"/>
              </w:rPr>
              <w:t>/</w:t>
            </w:r>
            <w:r>
              <w:rPr>
                <w:rFonts w:hint="eastAsia" w:ascii="仿宋" w:hAnsi="仿宋" w:eastAsia="仿宋" w:cs="仿宋"/>
                <w:color w:val="000000"/>
                <w:kern w:val="0"/>
                <w:sz w:val="24"/>
              </w:rPr>
              <w:t>成交资格的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90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恶意质疑（异议）、投诉</w:t>
            </w:r>
          </w:p>
        </w:tc>
        <w:tc>
          <w:tcPr>
            <w:tcW w:w="5529" w:type="dxa"/>
            <w:tcBorders>
              <w:top w:val="single" w:color="auto"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竞争主体或者其他利害关系人捏造事实、伪造材料或者以非法手段取得证明材料进行质疑（异议）、投诉，影响交易活动正常进行的</w:t>
            </w:r>
          </w:p>
        </w:tc>
        <w:tc>
          <w:tcPr>
            <w:tcW w:w="1134" w:type="dxa"/>
            <w:tcBorders>
              <w:top w:val="single" w:color="auto"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83"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000000" w:sz="4" w:space="0"/>
              <w:left w:val="single" w:color="auto" w:sz="4" w:space="0"/>
              <w:bottom w:val="single" w:color="000000"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投诉时不按规定或经要求提供仍不能提供任何有效线索、证明材料的</w:t>
            </w:r>
          </w:p>
        </w:tc>
        <w:tc>
          <w:tcPr>
            <w:tcW w:w="1134" w:type="dxa"/>
            <w:tcBorders>
              <w:top w:val="single" w:color="000000" w:sz="4" w:space="0"/>
              <w:left w:val="single" w:color="000000" w:sz="4" w:space="0"/>
              <w:bottom w:val="single" w:color="000000"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3</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8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continue"/>
            <w:tcBorders>
              <w:top w:val="single" w:color="000000" w:sz="4" w:space="0"/>
              <w:left w:val="single" w:color="auto" w:sz="4" w:space="0"/>
              <w:bottom w:val="single" w:color="auto" w:sz="4" w:space="0"/>
              <w:right w:val="single" w:color="000000"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一年内三次（含三次）以上质疑（异议）或投诉均查无实据的</w:t>
            </w:r>
          </w:p>
        </w:tc>
        <w:tc>
          <w:tcPr>
            <w:tcW w:w="1134" w:type="dxa"/>
            <w:tcBorders>
              <w:top w:val="single" w:color="000000" w:sz="4" w:space="0"/>
              <w:left w:val="single" w:color="000000" w:sz="4" w:space="0"/>
              <w:bottom w:val="single" w:color="auto" w:sz="4" w:space="0"/>
              <w:right w:val="single" w:color="000000"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62"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不履约</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sz w:val="24"/>
              </w:rPr>
            </w:pPr>
            <w:r>
              <w:rPr>
                <w:rFonts w:hint="eastAsia" w:ascii="仿宋" w:hAnsi="仿宋" w:eastAsia="仿宋" w:cs="仿宋"/>
                <w:kern w:val="0"/>
                <w:sz w:val="24"/>
              </w:rPr>
              <w:t>中标通知书发出后，无正当理由不按规定缴纳出让金、提交履约担保、拒绝与招标人签订合同</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73"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签订合同时，向招标人提出附加条件的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6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订立背离合同实质性内容协议</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43"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kern w:val="0"/>
                <w:sz w:val="24"/>
              </w:rPr>
            </w:pPr>
            <w:r>
              <w:rPr>
                <w:rFonts w:hint="eastAsia" w:ascii="仿宋" w:hAnsi="仿宋" w:eastAsia="仿宋" w:cs="仿宋"/>
                <w:kern w:val="0"/>
                <w:sz w:val="24"/>
              </w:rPr>
              <w:t>在项目实施中降低技术标准、提供假冒伪劣产品、擅自变更、中止或终止合同</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kern w:val="0"/>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2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项目管理班子关键岗位人员未按照投标文件承诺到岗的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每缺岗一人记</w:t>
            </w:r>
            <w:r>
              <w:rPr>
                <w:rFonts w:ascii="仿宋" w:hAnsi="仿宋" w:eastAsia="仿宋" w:cs="仿宋"/>
                <w:kern w:val="0"/>
                <w:sz w:val="24"/>
              </w:rPr>
              <w:t>3</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34"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项目经理不到岗的（超过当月应到岗天数三分之一以上）</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每缺岗一月记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24"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行业主管部门在标后监管中认定并通报的不良行为</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36"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不配合约谈</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ascii="仿宋" w:hAnsi="仿宋" w:eastAsia="仿宋" w:cs="仿宋"/>
                <w:color w:val="000000"/>
                <w:kern w:val="0"/>
                <w:sz w:val="24"/>
              </w:rPr>
              <w:t xml:space="preserve"> </w:t>
            </w:r>
            <w:r>
              <w:rPr>
                <w:rFonts w:hint="eastAsia" w:ascii="仿宋" w:hAnsi="仿宋" w:eastAsia="仿宋" w:cs="仿宋"/>
                <w:color w:val="000000"/>
                <w:kern w:val="0"/>
                <w:sz w:val="24"/>
              </w:rPr>
              <w:t>无正当理由未安排指定人员或未在规定时间参加监管部门组织约谈的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3</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1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无正当理由不按规定参加监管部门组织的约谈的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5</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78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不接受监管</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不按监管部门的要求提供材料或阻挠、拒绝接受或者阻挠监督管理部门依法进行监督检查的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8</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31"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不按规定签收相关执法文书的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每次记</w:t>
            </w:r>
            <w:r>
              <w:rPr>
                <w:rFonts w:ascii="仿宋" w:hAnsi="仿宋" w:eastAsia="仿宋" w:cs="仿宋"/>
                <w:kern w:val="0"/>
                <w:sz w:val="24"/>
              </w:rPr>
              <w:t>3</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470"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不按规定执行或拒不执行行政处理、行政处罚决定的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59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0000"/>
                <w:sz w:val="24"/>
              </w:rPr>
            </w:pPr>
            <w:r>
              <w:rPr>
                <w:rFonts w:hint="eastAsia" w:ascii="仿宋" w:hAnsi="仿宋" w:eastAsia="仿宋" w:cs="仿宋"/>
                <w:color w:val="000000"/>
                <w:kern w:val="0"/>
                <w:sz w:val="24"/>
              </w:rPr>
              <w:t>其他</w:t>
            </w: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承揽工程出现重大质量安全事故的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45"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恶意拖欠农民工工资的</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记</w:t>
            </w:r>
            <w:r>
              <w:rPr>
                <w:rFonts w:ascii="仿宋" w:hAnsi="仿宋" w:eastAsia="仿宋" w:cs="仿宋"/>
                <w:kern w:val="0"/>
                <w:sz w:val="24"/>
              </w:rPr>
              <w:t>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79" w:hRule="atLeast"/>
        </w:trPr>
        <w:tc>
          <w:tcPr>
            <w:tcW w:w="993" w:type="dxa"/>
            <w:vMerge w:val="continue"/>
            <w:tcBorders>
              <w:left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0000"/>
                <w:sz w:val="24"/>
              </w:rPr>
            </w:pPr>
            <w:r>
              <w:rPr>
                <w:rFonts w:hint="eastAsia" w:ascii="仿宋" w:hAnsi="仿宋" w:eastAsia="仿宋" w:cs="仿宋"/>
                <w:color w:val="000000"/>
                <w:kern w:val="0"/>
                <w:sz w:val="24"/>
              </w:rPr>
              <w:t>其他违反相关规定或依据行业规定应当记录的不良行为</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sz w:val="24"/>
              </w:rPr>
            </w:pPr>
            <w:r>
              <w:rPr>
                <w:rFonts w:hint="eastAsia" w:ascii="仿宋" w:hAnsi="仿宋" w:eastAsia="仿宋" w:cs="仿宋"/>
                <w:kern w:val="0"/>
                <w:sz w:val="24"/>
              </w:rPr>
              <w:t>视情节记</w:t>
            </w:r>
            <w:r>
              <w:rPr>
                <w:rFonts w:ascii="仿宋" w:hAnsi="仿宋" w:eastAsia="仿宋" w:cs="仿宋"/>
                <w:kern w:val="0"/>
                <w:sz w:val="24"/>
              </w:rPr>
              <w:t>3-10</w:t>
            </w:r>
            <w:r>
              <w:rPr>
                <w:rFonts w:hint="eastAsia" w:ascii="仿宋" w:hAnsi="仿宋" w:eastAsia="仿宋" w:cs="仿宋"/>
                <w:kern w:val="0"/>
                <w:sz w:val="24"/>
              </w:rPr>
              <w:t>分</w:t>
            </w:r>
          </w:p>
        </w:tc>
      </w:tr>
      <w:tr>
        <w:tblPrEx>
          <w:tblCellMar>
            <w:top w:w="15" w:type="dxa"/>
            <w:left w:w="15" w:type="dxa"/>
            <w:bottom w:w="15" w:type="dxa"/>
            <w:right w:w="15" w:type="dxa"/>
          </w:tblCellMar>
        </w:tblPrEx>
        <w:trPr>
          <w:trHeight w:val="679" w:hRule="atLeast"/>
        </w:trPr>
        <w:tc>
          <w:tcPr>
            <w:tcW w:w="993" w:type="dxa"/>
            <w:vMerge w:val="continue"/>
            <w:tcBorders>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left"/>
              <w:rPr>
                <w:rFonts w:ascii="仿宋" w:hAnsi="仿宋" w:eastAsia="仿宋" w:cs="仿宋"/>
                <w:color w:val="000000"/>
                <w:sz w:val="24"/>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kinsoku/>
              <w:wordWrap/>
              <w:overflowPunct/>
              <w:topLinePunct w:val="0"/>
              <w:autoSpaceDE/>
              <w:autoSpaceDN/>
              <w:bidi w:val="0"/>
              <w:adjustRightInd/>
              <w:spacing w:line="590" w:lineRule="exact"/>
              <w:jc w:val="center"/>
              <w:rPr>
                <w:rFonts w:ascii="仿宋" w:hAnsi="仿宋" w:eastAsia="仿宋" w:cs="仿宋"/>
                <w:color w:val="000000"/>
                <w:sz w:val="24"/>
              </w:rPr>
            </w:pPr>
          </w:p>
        </w:tc>
        <w:tc>
          <w:tcPr>
            <w:tcW w:w="5529"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left"/>
              <w:textAlignment w:val="center"/>
              <w:rPr>
                <w:rFonts w:ascii="仿宋" w:hAnsi="仿宋" w:eastAsia="仿宋" w:cs="仿宋"/>
                <w:color w:val="00B050"/>
                <w:kern w:val="0"/>
                <w:sz w:val="24"/>
              </w:rPr>
            </w:pPr>
            <w:r>
              <w:rPr>
                <w:rFonts w:hint="eastAsia" w:ascii="仿宋" w:hAnsi="仿宋" w:eastAsia="仿宋" w:cs="仿宋"/>
                <w:kern w:val="0"/>
                <w:sz w:val="24"/>
              </w:rPr>
              <w:t>违反《中华人民共和国招标投标法》及其实施条例、《中华人民共和国政府采购法》及其实施条例、《企业国有产权转让管理暂行办法》等相关法律法规及市公管局相关规定的其他行为</w:t>
            </w:r>
          </w:p>
        </w:tc>
        <w:tc>
          <w:tcPr>
            <w:tcW w:w="1134" w:type="dxa"/>
            <w:tcBorders>
              <w:top w:val="single" w:color="auto" w:sz="4" w:space="0"/>
              <w:left w:val="single" w:color="auto" w:sz="4" w:space="0"/>
              <w:bottom w:val="single" w:color="auto" w:sz="4" w:space="0"/>
              <w:right w:val="single" w:color="auto" w:sz="4" w:space="0"/>
            </w:tcBorders>
            <w:shd w:val="clear" w:color="auto" w:fill="FDFDFD"/>
            <w:noWrap w:val="0"/>
            <w:vAlign w:val="center"/>
          </w:tcPr>
          <w:p>
            <w:pPr>
              <w:keepNext w:val="0"/>
              <w:keepLines w:val="0"/>
              <w:pageBreakBefore w:val="0"/>
              <w:widowControl/>
              <w:kinsoku/>
              <w:wordWrap/>
              <w:overflowPunct/>
              <w:topLinePunct w:val="0"/>
              <w:autoSpaceDE/>
              <w:autoSpaceDN/>
              <w:bidi w:val="0"/>
              <w:adjustRightInd/>
              <w:spacing w:line="590" w:lineRule="exact"/>
              <w:jc w:val="center"/>
              <w:textAlignment w:val="center"/>
              <w:rPr>
                <w:rFonts w:ascii="仿宋" w:hAnsi="仿宋" w:eastAsia="仿宋" w:cs="仿宋"/>
                <w:color w:val="00B050"/>
                <w:kern w:val="0"/>
                <w:sz w:val="24"/>
              </w:rPr>
            </w:pPr>
            <w:r>
              <w:rPr>
                <w:rFonts w:hint="eastAsia" w:ascii="仿宋" w:hAnsi="仿宋" w:eastAsia="仿宋" w:cs="仿宋"/>
                <w:kern w:val="0"/>
                <w:sz w:val="24"/>
              </w:rPr>
              <w:t>视情节记</w:t>
            </w:r>
            <w:r>
              <w:rPr>
                <w:rFonts w:ascii="仿宋" w:hAnsi="仿宋" w:eastAsia="仿宋" w:cs="仿宋"/>
                <w:kern w:val="0"/>
                <w:sz w:val="24"/>
              </w:rPr>
              <w:t>3-15</w:t>
            </w:r>
            <w:r>
              <w:rPr>
                <w:rFonts w:hint="eastAsia" w:ascii="仿宋" w:hAnsi="仿宋" w:eastAsia="仿宋" w:cs="仿宋"/>
                <w:kern w:val="0"/>
                <w:sz w:val="24"/>
              </w:rPr>
              <w:t>分</w:t>
            </w:r>
          </w:p>
        </w:tc>
      </w:tr>
    </w:tbl>
    <w:p>
      <w:pPr>
        <w:keepNext w:val="0"/>
        <w:keepLines w:val="0"/>
        <w:pageBreakBefore w:val="0"/>
        <w:kinsoku/>
        <w:wordWrap/>
        <w:overflowPunct/>
        <w:topLinePunct w:val="0"/>
        <w:autoSpaceDE/>
        <w:autoSpaceDN/>
        <w:bidi w:val="0"/>
        <w:adjustRightInd/>
        <w:spacing w:line="590" w:lineRule="exact"/>
        <w:ind w:right="1920"/>
        <w:rPr>
          <w:rFonts w:hint="eastAsia" w:ascii="仿宋" w:hAnsi="仿宋" w:eastAsia="仿宋" w:cs="仿宋"/>
          <w:b/>
          <w:bCs/>
          <w:color w:val="000000"/>
          <w:kern w:val="0"/>
          <w:sz w:val="32"/>
          <w:szCs w:val="32"/>
          <w:shd w:val="clear" w:color="auto" w:fill="FFFFFF"/>
        </w:rPr>
      </w:pPr>
    </w:p>
    <w:p>
      <w:pPr>
        <w:keepNext w:val="0"/>
        <w:keepLines w:val="0"/>
        <w:pageBreakBefore w:val="0"/>
        <w:kinsoku/>
        <w:wordWrap/>
        <w:overflowPunct/>
        <w:topLinePunct w:val="0"/>
        <w:autoSpaceDE/>
        <w:autoSpaceDN/>
        <w:bidi w:val="0"/>
        <w:adjustRightInd/>
        <w:spacing w:before="156" w:beforeLines="50" w:line="590" w:lineRule="exact"/>
        <w:jc w:val="both"/>
        <w:rPr>
          <w:rFonts w:hint="eastAsia" w:ascii="仿宋_GB2312" w:hAnsi="仿宋_GB2312" w:eastAsia="仿宋_GB2312" w:cs="仿宋_GB2312"/>
          <w:bCs/>
          <w:spacing w:val="2"/>
          <w:w w:val="90"/>
          <w:sz w:val="32"/>
          <w:szCs w:val="32"/>
        </w:rPr>
      </w:pPr>
    </w:p>
    <w:p>
      <w:pPr>
        <w:keepNext w:val="0"/>
        <w:keepLines w:val="0"/>
        <w:pageBreakBefore w:val="0"/>
        <w:kinsoku/>
        <w:wordWrap/>
        <w:overflowPunct/>
        <w:topLinePunct w:val="0"/>
        <w:autoSpaceDE/>
        <w:autoSpaceDN/>
        <w:bidi w:val="0"/>
        <w:adjustRightInd/>
        <w:spacing w:line="590" w:lineRule="exact"/>
        <w:rPr>
          <w:rFonts w:hint="eastAsia"/>
          <w:lang w:val="en-US" w:eastAsia="zh-CN"/>
        </w:rPr>
      </w:pPr>
    </w:p>
    <w:bookmarkEnd w:id="0"/>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黑体简体">
    <w:altName w:val="微软雅黑"/>
    <w:panose1 w:val="03000509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华康简标题宋">
    <w:altName w:val="MS Gothic"/>
    <w:panose1 w:val="02010609000101010101"/>
    <w:charset w:val="00"/>
    <w:family w:val="auto"/>
    <w:pitch w:val="default"/>
    <w:sig w:usb0="00000000" w:usb1="00000000" w:usb2="00000000" w:usb3="00000000" w:csb0="00040001"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9"/>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90" w:lineRule="exact"/>
      <w:ind w:left="0" w:right="0" w:firstLine="420"/>
      <w:jc w:val="right"/>
      <w:textAlignment w:val="auto"/>
      <w:rPr>
        <w:rFonts w:hint="default" w:ascii="宋体" w:hAnsi="宋体" w:eastAsia="宋体" w:cs="宋体"/>
        <w:b/>
        <w:bCs/>
        <w:color w:val="005192"/>
        <w:sz w:val="28"/>
        <w:szCs w:val="44"/>
        <w:lang w:val="en-US" w:eastAsia="zh-CN"/>
      </w:rPr>
    </w:pPr>
    <w:r>
      <w:rPr>
        <w:rFonts w:hint="eastAsia" w:ascii="宋体" w:hAnsi="宋体" w:cs="宋体"/>
        <w:b w:val="0"/>
        <w:bCs w:val="0"/>
        <w:color w:val="005192"/>
        <w:sz w:val="28"/>
        <w:szCs w:val="44"/>
        <w:lang w:val="en-US" w:eastAsia="zh-CN"/>
      </w:rPr>
      <w:t>宿州市公共资源交易管理委员会办公室</w:t>
    </w:r>
    <w:r>
      <w:rPr>
        <w:rFonts w:hint="eastAsia" w:ascii="宋体" w:hAnsi="宋体" w:cs="宋体"/>
        <w:b w:val="0"/>
        <w:bCs w:val="0"/>
        <w:color w:val="005192"/>
        <w:sz w:val="28"/>
        <w:szCs w:val="44"/>
        <w:lang w:val="en-US"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ascii="宋体" w:hAnsi="宋体" w:cs="宋体"/>
        <w:b w:val="0"/>
        <w:bCs w:val="0"/>
        <w:color w:val="005192"/>
        <w:sz w:val="28"/>
        <w:szCs w:val="44"/>
        <w:lang w:val="en-US" w:eastAsia="zh-CN"/>
      </w:rPr>
      <w:t>发布</w:t>
    </w:r>
  </w:p>
  <w:p>
    <w:pPr>
      <w:pStyle w:val="10"/>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10"/>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c9dIkRnSj4w7Q7JADt9+ReHf2ls=" w:salt="rDgexav9UtoIxEmkMBpSbg=="/>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0D06114"/>
    <w:rsid w:val="019E71BD"/>
    <w:rsid w:val="04B679C3"/>
    <w:rsid w:val="05E451B5"/>
    <w:rsid w:val="080F63D8"/>
    <w:rsid w:val="09341458"/>
    <w:rsid w:val="0B0912D7"/>
    <w:rsid w:val="0C227ABB"/>
    <w:rsid w:val="152D2DCA"/>
    <w:rsid w:val="16B35156"/>
    <w:rsid w:val="1A2170CF"/>
    <w:rsid w:val="1DEC284C"/>
    <w:rsid w:val="1E6523AC"/>
    <w:rsid w:val="1E721D7B"/>
    <w:rsid w:val="201A1E33"/>
    <w:rsid w:val="208E288A"/>
    <w:rsid w:val="21D97B35"/>
    <w:rsid w:val="22440422"/>
    <w:rsid w:val="31A15F24"/>
    <w:rsid w:val="31A818A9"/>
    <w:rsid w:val="395347B5"/>
    <w:rsid w:val="39A232A0"/>
    <w:rsid w:val="39E745AA"/>
    <w:rsid w:val="3B5A6BBB"/>
    <w:rsid w:val="3C3420E0"/>
    <w:rsid w:val="3DA63B3B"/>
    <w:rsid w:val="3E1C6FD2"/>
    <w:rsid w:val="3EDA13A6"/>
    <w:rsid w:val="42F058B7"/>
    <w:rsid w:val="436109F6"/>
    <w:rsid w:val="441A38D4"/>
    <w:rsid w:val="446E0159"/>
    <w:rsid w:val="47A1129D"/>
    <w:rsid w:val="47D429C9"/>
    <w:rsid w:val="47F925A7"/>
    <w:rsid w:val="49A95790"/>
    <w:rsid w:val="4A77763C"/>
    <w:rsid w:val="4BC77339"/>
    <w:rsid w:val="4C4F261E"/>
    <w:rsid w:val="4C9236C5"/>
    <w:rsid w:val="4E386D05"/>
    <w:rsid w:val="4FFF755F"/>
    <w:rsid w:val="505C172E"/>
    <w:rsid w:val="52F46F0B"/>
    <w:rsid w:val="53D8014D"/>
    <w:rsid w:val="55E064E0"/>
    <w:rsid w:val="564927D4"/>
    <w:rsid w:val="572C6D10"/>
    <w:rsid w:val="5DC34279"/>
    <w:rsid w:val="5DC51367"/>
    <w:rsid w:val="5DCA16D1"/>
    <w:rsid w:val="608816D1"/>
    <w:rsid w:val="60EF4E7F"/>
    <w:rsid w:val="623600B0"/>
    <w:rsid w:val="660109D5"/>
    <w:rsid w:val="66501015"/>
    <w:rsid w:val="665233C1"/>
    <w:rsid w:val="68464DC5"/>
    <w:rsid w:val="697E40EB"/>
    <w:rsid w:val="6ACF10A2"/>
    <w:rsid w:val="6AD9688B"/>
    <w:rsid w:val="6C557385"/>
    <w:rsid w:val="6D0E3F22"/>
    <w:rsid w:val="70BC57B2"/>
    <w:rsid w:val="7143439E"/>
    <w:rsid w:val="73BE1CB4"/>
    <w:rsid w:val="741144D9"/>
    <w:rsid w:val="76796366"/>
    <w:rsid w:val="79BF7377"/>
    <w:rsid w:val="7A462A03"/>
    <w:rsid w:val="7C9011D9"/>
    <w:rsid w:val="7D871368"/>
    <w:rsid w:val="7DBF4FA6"/>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5">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next w:val="4"/>
    <w:qFormat/>
    <w:uiPriority w:val="0"/>
    <w:pPr>
      <w:spacing w:after="120" w:afterLines="0" w:afterAutospacing="0"/>
      <w:ind w:left="420" w:leftChars="200"/>
    </w:pPr>
  </w:style>
  <w:style w:type="paragraph" w:styleId="4">
    <w:name w:val="envelope return"/>
    <w:basedOn w:val="1"/>
    <w:qFormat/>
    <w:uiPriority w:val="0"/>
    <w:pPr>
      <w:snapToGrid w:val="0"/>
    </w:pPr>
    <w:rPr>
      <w:rFonts w:ascii="Arial" w:hAnsi="Arial"/>
    </w:rPr>
  </w:style>
  <w:style w:type="paragraph" w:styleId="6">
    <w:name w:val="annotation text"/>
    <w:basedOn w:val="1"/>
    <w:qFormat/>
    <w:uiPriority w:val="0"/>
    <w:pPr>
      <w:jc w:val="left"/>
    </w:pPr>
  </w:style>
  <w:style w:type="paragraph" w:styleId="7">
    <w:name w:val="Body Text"/>
    <w:basedOn w:val="1"/>
    <w:unhideWhenUsed/>
    <w:qFormat/>
    <w:uiPriority w:val="99"/>
  </w:style>
  <w:style w:type="paragraph" w:styleId="8">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Normal (Web)"/>
    <w:basedOn w:val="1"/>
    <w:qFormat/>
    <w:uiPriority w:val="0"/>
    <w:rPr>
      <w:sz w:val="24"/>
    </w:rPr>
  </w:style>
  <w:style w:type="character" w:styleId="14">
    <w:name w:val="page number"/>
    <w:basedOn w:val="13"/>
    <w:qFormat/>
    <w:uiPriority w:val="0"/>
    <w:rPr>
      <w:rFonts w:ascii="Calibri" w:hAnsi="Calibri" w:eastAsia="宋体" w:cs="Times New Roman"/>
    </w:rPr>
  </w:style>
  <w:style w:type="paragraph" w:customStyle="1" w:styleId="15">
    <w:name w:val="No Spacing_ad81b47b-6779-4c76-b471-79375858c8cb"/>
    <w:basedOn w:val="1"/>
    <w:unhideWhenUsed/>
    <w:qFormat/>
    <w:uiPriority w:val="99"/>
    <w:pPr>
      <w:spacing w:beforeLines="0" w:afterLines="0"/>
      <w:ind w:firstLine="200" w:firstLineChars="200"/>
    </w:pPr>
    <w:rPr>
      <w:rFonts w:hint="default"/>
      <w:sz w:val="21"/>
      <w:szCs w:val="24"/>
    </w:rPr>
  </w:style>
  <w:style w:type="character" w:customStyle="1" w:styleId="16">
    <w:name w:val="font01"/>
    <w:qFormat/>
    <w:uiPriority w:val="99"/>
    <w:rPr>
      <w:rFonts w:ascii="Arial" w:hAnsi="Arial" w:eastAsia="宋体" w:cs="Arial"/>
      <w:color w:val="000000"/>
      <w:sz w:val="30"/>
      <w:szCs w:val="3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3192</Words>
  <Characters>3247</Characters>
  <Lines>1</Lines>
  <Paragraphs>1</Paragraphs>
  <TotalTime>4</TotalTime>
  <ScaleCrop>false</ScaleCrop>
  <LinksUpToDate>false</LinksUpToDate>
  <CharactersWithSpaces>3302</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2022-10-19T11:21:26Z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D55FF1B4DA624C1CA7A8D6946643B0FA</vt:lpwstr>
  </property>
</Properties>
</file>