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08D4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eastAsia="zh-CN"/>
        </w:rPr>
      </w:pPr>
      <w:bookmarkStart w:id="0" w:name="_GoBack"/>
      <w:bookmarkEnd w:id="0"/>
      <w:r>
        <w:rPr>
          <w:rFonts w:hint="eastAsia" w:ascii="方正小标宋简体" w:hAnsi="方正小标宋简体" w:eastAsia="方正小标宋简体" w:cs="方正小标宋简体"/>
          <w:sz w:val="44"/>
          <w:szCs w:val="44"/>
          <w:lang w:eastAsia="zh-CN"/>
        </w:rPr>
        <w:t>宿州市工程建设项目招标代理服务收费</w:t>
      </w:r>
    </w:p>
    <w:p w14:paraId="66F4495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标准公开指引</w:t>
      </w:r>
    </w:p>
    <w:p w14:paraId="1A65E63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eastAsia="zh-CN"/>
        </w:rPr>
      </w:pPr>
    </w:p>
    <w:p w14:paraId="443155C3">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为规范招标代理服务收费行为，提高收费透明度，维护招标人、招标代理机构及投标人的合法权益，特制定本指引。</w:t>
      </w:r>
    </w:p>
    <w:p w14:paraId="226B3700">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一、公开依据</w:t>
      </w:r>
    </w:p>
    <w:p w14:paraId="4F890EFA">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1.《中华人民共和国价格法》第六条：商品价格和服务价格，除依照本法第十八条规定适用政府指导价或者政府定价外，实行市场调节价，</w:t>
      </w:r>
      <w:r>
        <w:rPr>
          <w:rFonts w:hint="eastAsia" w:ascii="方正仿宋_GBK" w:hAnsi="方正仿宋_GBK" w:eastAsia="方正仿宋_GBK" w:cs="方正仿宋_GBK"/>
          <w:b/>
          <w:bCs/>
          <w:sz w:val="32"/>
          <w:szCs w:val="32"/>
          <w:lang w:val="en-US" w:eastAsia="zh-CN"/>
        </w:rPr>
        <w:t>由经营者依照本法自主制定</w:t>
      </w:r>
      <w:r>
        <w:rPr>
          <w:rFonts w:hint="eastAsia" w:ascii="方正仿宋_GBK" w:hAnsi="方正仿宋_GBK" w:eastAsia="方正仿宋_GBK" w:cs="方正仿宋_GBK"/>
          <w:sz w:val="32"/>
          <w:szCs w:val="32"/>
          <w:lang w:val="en-US" w:eastAsia="zh-CN"/>
        </w:rPr>
        <w:t>。</w:t>
      </w:r>
    </w:p>
    <w:p w14:paraId="31B2742A">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sz w:val="32"/>
          <w:szCs w:val="32"/>
          <w:lang w:val="en-US" w:eastAsia="zh-CN"/>
        </w:rPr>
        <w:t>2.《中华人民共和国价格法》第十三条：经营者销售、收购商品和提供服务，应当按照政府价格主管部门的规定明码标价，注明商品的品名、产地、规格、等级、</w:t>
      </w:r>
      <w:r>
        <w:rPr>
          <w:rFonts w:hint="eastAsia" w:ascii="方正仿宋_GBK" w:hAnsi="方正仿宋_GBK" w:eastAsia="方正仿宋_GBK" w:cs="方正仿宋_GBK"/>
          <w:b/>
          <w:bCs/>
          <w:sz w:val="32"/>
          <w:szCs w:val="32"/>
          <w:lang w:val="en-US" w:eastAsia="zh-CN"/>
        </w:rPr>
        <w:t>计价单位、价格或者服务的项目、收费标准</w:t>
      </w:r>
      <w:r>
        <w:rPr>
          <w:rFonts w:hint="eastAsia" w:ascii="方正仿宋_GBK" w:hAnsi="方正仿宋_GBK" w:eastAsia="方正仿宋_GBK" w:cs="方正仿宋_GBK"/>
          <w:sz w:val="32"/>
          <w:szCs w:val="32"/>
          <w:lang w:val="en-US" w:eastAsia="zh-CN"/>
        </w:rPr>
        <w:t>等有关情况。</w:t>
      </w:r>
      <w:r>
        <w:rPr>
          <w:rFonts w:hint="eastAsia" w:ascii="方正仿宋_GBK" w:hAnsi="方正仿宋_GBK" w:eastAsia="方正仿宋_GBK" w:cs="方正仿宋_GBK"/>
          <w:b/>
          <w:bCs/>
          <w:sz w:val="32"/>
          <w:szCs w:val="32"/>
          <w:lang w:val="en-US" w:eastAsia="zh-CN"/>
        </w:rPr>
        <w:t>经营者不得在标价之外加价出售商品，不得收取任何未予标明的费用。</w:t>
      </w:r>
    </w:p>
    <w:p w14:paraId="76C15F5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val="0"/>
          <w:bCs w:val="0"/>
          <w:sz w:val="32"/>
          <w:szCs w:val="32"/>
          <w:lang w:val="en-US" w:eastAsia="zh-CN"/>
        </w:rPr>
        <w:t>3.《明码标价和禁止价格欺诈规定》（国家市场监督管理总局令第56号公布）第六条：经营者应当以显著方式进行明码标价，明确标示价格所对应的商品或者服务。</w:t>
      </w:r>
      <w:r>
        <w:rPr>
          <w:rFonts w:hint="eastAsia" w:ascii="方正仿宋_GBK" w:hAnsi="方正仿宋_GBK" w:eastAsia="方正仿宋_GBK" w:cs="方正仿宋_GBK"/>
          <w:b/>
          <w:bCs/>
          <w:sz w:val="32"/>
          <w:szCs w:val="32"/>
          <w:lang w:val="en-US" w:eastAsia="zh-CN"/>
        </w:rPr>
        <w:t>经营者根据不同交易条件实行不同价格的，应当标明交易条件以及与其对应的价格。</w:t>
      </w:r>
    </w:p>
    <w:p w14:paraId="77367D51">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4.《明码标价和禁止价格欺诈规定》（国家市场监督管理总局令第56号公布）第七条：经营者提供服务应当标示</w:t>
      </w:r>
      <w:r>
        <w:rPr>
          <w:rFonts w:hint="eastAsia" w:ascii="方正仿宋_GBK" w:hAnsi="方正仿宋_GBK" w:eastAsia="方正仿宋_GBK" w:cs="方正仿宋_GBK"/>
          <w:b/>
          <w:bCs/>
          <w:sz w:val="32"/>
          <w:szCs w:val="32"/>
          <w:lang w:val="en-US" w:eastAsia="zh-CN"/>
        </w:rPr>
        <w:t>服务项目、服务内容和价格或者计价方法</w:t>
      </w:r>
      <w:r>
        <w:rPr>
          <w:rFonts w:hint="eastAsia" w:ascii="方正仿宋_GBK" w:hAnsi="方正仿宋_GBK" w:eastAsia="方正仿宋_GBK" w:cs="方正仿宋_GBK"/>
          <w:b w:val="0"/>
          <w:bCs w:val="0"/>
          <w:sz w:val="32"/>
          <w:szCs w:val="32"/>
          <w:lang w:val="en-US" w:eastAsia="zh-CN"/>
        </w:rPr>
        <w:t>。</w:t>
      </w:r>
    </w:p>
    <w:p w14:paraId="02211E8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二、公开方式</w:t>
      </w:r>
    </w:p>
    <w:p w14:paraId="0C59A2BA">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招标代理机构在宿州市公共资源交易平台接受多元评价管理时自主填报，通过宿州市公共资源交易网站招标代理评价结果公开页面集中公开。</w:t>
      </w:r>
    </w:p>
    <w:p w14:paraId="5DBC4E2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三、公开内容</w:t>
      </w:r>
    </w:p>
    <w:p w14:paraId="61226C5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包括但不限于以下内容：</w:t>
      </w:r>
    </w:p>
    <w:p w14:paraId="0D50F96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val="en-US" w:eastAsia="zh-CN"/>
        </w:rPr>
        <w:t>（一）收费内容</w:t>
      </w:r>
    </w:p>
    <w:p w14:paraId="42FF517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楷体_GBK" w:hAnsi="方正楷体_GBK" w:eastAsia="方正楷体_GBK" w:cs="方正楷体_GBK"/>
          <w:b w:val="0"/>
          <w:bCs w:val="0"/>
          <w:sz w:val="32"/>
          <w:szCs w:val="32"/>
          <w:lang w:val="en-US" w:eastAsia="zh-CN"/>
        </w:rPr>
      </w:pPr>
      <w:r>
        <w:rPr>
          <w:rFonts w:hint="eastAsia" w:ascii="方正仿宋_GBK" w:hAnsi="方正仿宋_GBK" w:eastAsia="方正仿宋_GBK" w:cs="方正仿宋_GBK"/>
          <w:sz w:val="32"/>
          <w:szCs w:val="32"/>
          <w:lang w:val="en-US" w:eastAsia="zh-CN"/>
        </w:rPr>
        <w:t>说明代理服务费包括的内容（不得将评标场所服务费、评标专家劳务费等国家、省有关文件明确规定应当由招标人承担的费用纳入代理服务费）。</w:t>
      </w:r>
    </w:p>
    <w:p w14:paraId="2298CA8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val="en-US" w:eastAsia="zh-CN"/>
        </w:rPr>
        <w:t>（二）收费标准明细</w:t>
      </w:r>
    </w:p>
    <w:p w14:paraId="5DDC438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若采取按比例收费方式：详细列出不同类型招标项目（如货物招标、服务招标、工程招标）在各个中标金额区间对应的收费比例。例如：货物招标，中标金额100万元以下部分，收费比例为1.5%；100-500万元部分，收费比例为1.1%等。</w:t>
      </w:r>
    </w:p>
    <w:p w14:paraId="0439EBE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若采取固定收费方式：对于某些特定类型、规模或复杂程度相对稳定的项目，采用固定金额收取招标代理服务费的，说明该固定金额的确定依据及适用范围。例如：小型办公用品采购招标项目统一收取固定服务费5000元等。</w:t>
      </w:r>
    </w:p>
    <w:p w14:paraId="136556F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3.若采取混合收费方式：若存在结合多种因素综合确定收费的方式，如部分按比例、部分按固定金额，或根据项目不同阶段采用不同收费方式等，详细解释其计算方法和逻辑。</w:t>
      </w:r>
    </w:p>
    <w:p w14:paraId="2335B441">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4.若有单独提供编制招标文件（有标底的含标底）服务的收费标准，也单独明确列出。</w:t>
      </w:r>
    </w:p>
    <w:p w14:paraId="02748A4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5.如采取其他收费方式，参照上述方式详细说明。</w:t>
      </w:r>
    </w:p>
    <w:p w14:paraId="7B4D61D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val="en-US" w:eastAsia="zh-CN"/>
        </w:rPr>
        <w:t>（二）计费方式说明</w:t>
      </w:r>
    </w:p>
    <w:p w14:paraId="3E5260A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对采取的收费标准，详细解释计费方式，如按差额定率累进法计算，可通过具体的示例展示如何根据中标金额计算出招标代理服务费。</w:t>
      </w:r>
    </w:p>
    <w:p w14:paraId="461F749A">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bCs/>
          <w:sz w:val="32"/>
          <w:szCs w:val="32"/>
          <w:lang w:val="en-US" w:eastAsia="zh-CN"/>
        </w:rPr>
      </w:pPr>
      <w:r>
        <w:rPr>
          <w:rFonts w:hint="eastAsia" w:ascii="方正楷体_GBK" w:hAnsi="方正楷体_GBK" w:eastAsia="方正楷体_GBK" w:cs="方正楷体_GBK"/>
          <w:b w:val="0"/>
          <w:bCs w:val="0"/>
          <w:sz w:val="32"/>
          <w:szCs w:val="32"/>
          <w:lang w:val="en-US" w:eastAsia="zh-CN"/>
        </w:rPr>
        <w:t>（三）浮动幅度范围</w:t>
      </w:r>
    </w:p>
    <w:p w14:paraId="799111F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如有，明确代理服务收费</w:t>
      </w:r>
      <w:r>
        <w:rPr>
          <w:rFonts w:hint="default" w:ascii="方正仿宋_GBK" w:hAnsi="方正仿宋_GBK" w:eastAsia="方正仿宋_GBK" w:cs="方正仿宋_GBK"/>
          <w:sz w:val="32"/>
          <w:szCs w:val="32"/>
          <w:lang w:val="en-US" w:eastAsia="zh-CN"/>
        </w:rPr>
        <w:t>可在</w:t>
      </w:r>
      <w:r>
        <w:rPr>
          <w:rFonts w:hint="eastAsia" w:ascii="方正仿宋_GBK" w:hAnsi="方正仿宋_GBK" w:eastAsia="方正仿宋_GBK" w:cs="方正仿宋_GBK"/>
          <w:sz w:val="32"/>
          <w:szCs w:val="32"/>
          <w:lang w:val="en-US" w:eastAsia="zh-CN"/>
        </w:rPr>
        <w:t>公开的</w:t>
      </w:r>
      <w:r>
        <w:rPr>
          <w:rFonts w:hint="default" w:ascii="方正仿宋_GBK" w:hAnsi="方正仿宋_GBK" w:eastAsia="方正仿宋_GBK" w:cs="方正仿宋_GBK"/>
          <w:sz w:val="32"/>
          <w:szCs w:val="32"/>
          <w:lang w:val="en-US" w:eastAsia="zh-CN"/>
        </w:rPr>
        <w:t>标准基础上上下浮动</w:t>
      </w:r>
      <w:r>
        <w:rPr>
          <w:rFonts w:hint="eastAsia" w:ascii="方正仿宋_GBK" w:hAnsi="方正仿宋_GBK" w:eastAsia="方正仿宋_GBK" w:cs="方正仿宋_GBK"/>
          <w:sz w:val="32"/>
          <w:szCs w:val="32"/>
          <w:lang w:val="en-US" w:eastAsia="zh-CN"/>
        </w:rPr>
        <w:t>的比例</w:t>
      </w:r>
      <w:r>
        <w:rPr>
          <w:rFonts w:hint="default" w:ascii="方正仿宋_GBK" w:hAnsi="方正仿宋_GBK" w:eastAsia="方正仿宋_GBK" w:cs="方正仿宋_GBK"/>
          <w:sz w:val="32"/>
          <w:szCs w:val="32"/>
          <w:lang w:val="en-US" w:eastAsia="zh-CN"/>
        </w:rPr>
        <w:t>，并说明具体的协商确定方式以及在何种情况下可能会出现浮动收费。</w:t>
      </w:r>
    </w:p>
    <w:p w14:paraId="499F8BD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楷体_GBK" w:hAnsi="方正楷体_GBK" w:eastAsia="方正楷体_GBK" w:cs="方正楷体_GBK"/>
          <w:b w:val="0"/>
          <w:bCs w:val="0"/>
          <w:sz w:val="32"/>
          <w:szCs w:val="32"/>
          <w:lang w:val="en-US" w:eastAsia="zh-CN"/>
        </w:rPr>
      </w:pPr>
      <w:r>
        <w:rPr>
          <w:rFonts w:hint="eastAsia" w:ascii="方正楷体_GBK" w:hAnsi="方正楷体_GBK" w:eastAsia="方正楷体_GBK" w:cs="方正楷体_GBK"/>
          <w:b w:val="0"/>
          <w:bCs w:val="0"/>
          <w:sz w:val="32"/>
          <w:szCs w:val="32"/>
          <w:lang w:val="en-US" w:eastAsia="zh-CN"/>
        </w:rPr>
        <w:t>（四）保底收费</w:t>
      </w:r>
    </w:p>
    <w:p w14:paraId="64227A3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如有，说明不同项目类型对应的保底收费金额或计算方式。例如，按公开收费标准计算后的代理服务费低于2000元的按2000元计取。</w:t>
      </w:r>
    </w:p>
    <w:p w14:paraId="79100D9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四、其他注意事项</w:t>
      </w:r>
    </w:p>
    <w:p w14:paraId="505F7E9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1.代理服务收费标准不可将国家、省、市有关部门已经废止的文件作为依据。</w:t>
      </w:r>
    </w:p>
    <w:p w14:paraId="5F3A7A73">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2.代理服务收费标准可以通过文字说明或列表结合文字说明形式公开，文字表述应简洁、清晰、准确、完整，避免含糊不清、过分冗长、晦涩难懂，不得出现错别字。</w:t>
      </w:r>
    </w:p>
    <w:p w14:paraId="59944D7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3.招标代理机构在项目招标文件和中标（成交）结果公示中公开的招标代理服务收费标准及金额，原则上不得高于在信息登记时集中公开的收费标准。</w:t>
      </w:r>
    </w:p>
    <w:p w14:paraId="5A0AD95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4.公开代理服务收费标准情况将作为招标代理机构多元评价和乱收费治理的参考依据。</w:t>
      </w:r>
    </w:p>
    <w:p w14:paraId="060EE4A0">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5.代理服务收费标准如有变化，招标代理机构应及时在宿州市公共资源交易平台进行更新，并更新公开时间。因未及时更新收费标准而产生的问题由招标代理机构自行负责。</w:t>
      </w:r>
    </w:p>
    <w:p w14:paraId="5DAF1C37">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6.招标代理机构负责对本公司公开的代理服务收费标准进行解释说明。</w:t>
      </w:r>
    </w:p>
    <w:p w14:paraId="0878C0AB">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7.本指引旨在提醒招标代理机构补充完善多元评价信息、公开代理服务收费标准时应注意的事项，并非代理服务收费标准有关规定，文中所举示例仅供参考。</w:t>
      </w:r>
    </w:p>
    <w:p w14:paraId="672B2C01">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8.政府采购代理服务收费标准可参照本指引进行公开。</w:t>
      </w:r>
    </w:p>
    <w:p w14:paraId="1F441A8B">
      <w:pPr>
        <w:rPr>
          <w:rFonts w:hint="default" w:ascii="Cambria" w:hAnsi="Cambria" w:eastAsia="方正小标宋简体" w:cs="方正小标宋简体"/>
          <w:sz w:val="44"/>
          <w:szCs w:val="44"/>
        </w:rPr>
      </w:pPr>
    </w:p>
    <w:p w14:paraId="575EDF8C"/>
    <w:sectPr>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Times New Roman"/>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方正仿宋_GBK">
    <w:panose1 w:val="02000000000000000000"/>
    <w:charset w:val="86"/>
    <w:family w:val="auto"/>
    <w:pitch w:val="default"/>
    <w:sig w:usb0="00000001" w:usb1="08000000" w:usb2="00000000" w:usb3="00000000" w:csb0="00040000" w:csb1="00000000"/>
  </w:font>
  <w:font w:name="黑体">
    <w:altName w:val="方正黑体_GBK"/>
    <w:panose1 w:val="02010609060101010101"/>
    <w:charset w:val="00"/>
    <w:family w:val="auto"/>
    <w:pitch w:val="default"/>
    <w:sig w:usb0="800002BF" w:usb1="38CF7CFA" w:usb2="00000016" w:usb3="00000000" w:csb0="00040001"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Cambria">
    <w:altName w:val="Noto Sans Syriac Eastern"/>
    <w:panose1 w:val="02040503050406030204"/>
    <w:charset w:val="00"/>
    <w:family w:val="auto"/>
    <w:pitch w:val="default"/>
    <w:sig w:usb0="00000000" w:usb1="00000000" w:usb2="02000000" w:usb3="00000000" w:csb0="2000019F" w:csb1="00000000"/>
  </w:font>
  <w:font w:name="Noto Sans Syriac Eastern">
    <w:panose1 w:val="02040503050306020203"/>
    <w:charset w:val="86"/>
    <w:family w:val="auto"/>
    <w:pitch w:val="default"/>
    <w:sig w:usb0="00000000" w:usb1="00000000" w:usb2="00000080" w:usb3="00000000" w:csb0="203E0161" w:csb1="D7FF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FAFD4"/>
    <w:rsid w:val="7FFD1E6F"/>
    <w:rsid w:val="FFDFAF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Office_12.8.2.1119_F1E327BC-269C-435d-A152-05C5408002CA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2025-12-20T00:59:00Z</dcterms:created>
  <dc:creator>greatwall</dc:creator>
  <cp:lastModifiedBy>greatwall</cp:lastModifiedBy>
  <dcterms:modified xsi:type="dcterms:W3CDTF">2025-12-19T17:00:24Z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2052-12.8.2.1119</vt:lpwstr>
  </property>
  <property fmtid="{D5CDD505-2E9C-101B-9397-08002B2CF9AE}" pid="3" name="ICV">
    <vt:lpwstr>39738C9E73DFE990281445692E802934_43</vt:lpwstr>
  </property>
</Properties>
</file>