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snapToGrid/>
        <w:spacing w:line="590" w:lineRule="exact"/>
        <w:jc w:val="center"/>
        <w:textAlignment w:val="auto"/>
        <w:rPr>
          <w:rFonts w:hint="eastAsia" w:ascii="方正小标宋_GBK" w:hAnsi="方正小标宋_GBK" w:eastAsia="方正小标宋_GBK" w:cs="方正小标宋_GBK"/>
          <w:sz w:val="44"/>
          <w:szCs w:val="44"/>
        </w:rPr>
      </w:pPr>
      <w:bookmarkStart w:id="0" w:name="_GoBack"/>
    </w:p>
    <w:p>
      <w:pPr>
        <w:pStyle w:val="2"/>
        <w:rPr>
          <w:rFonts w:hint="eastAsia"/>
        </w:rPr>
      </w:pPr>
    </w:p>
    <w:p>
      <w:pPr>
        <w:keepNext w:val="0"/>
        <w:keepLines w:val="0"/>
        <w:pageBreakBefore w:val="0"/>
        <w:kinsoku/>
        <w:wordWrap/>
        <w:overflowPunct/>
        <w:topLinePunct w:val="0"/>
        <w:autoSpaceDE/>
        <w:autoSpaceDN/>
        <w:bidi w:val="0"/>
        <w:snapToGrid/>
        <w:spacing w:line="590" w:lineRule="exact"/>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关于印发《宿州市</w:t>
      </w:r>
      <w:r>
        <w:rPr>
          <w:rFonts w:hint="eastAsia" w:ascii="方正小标宋_GBK" w:hAnsi="方正小标宋_GBK" w:eastAsia="方正小标宋_GBK" w:cs="方正小标宋_GBK"/>
          <w:sz w:val="44"/>
          <w:szCs w:val="44"/>
          <w:lang w:val="en-US" w:eastAsia="zh-CN"/>
        </w:rPr>
        <w:t>公共资源交易招标代理机构</w:t>
      </w:r>
      <w:r>
        <w:rPr>
          <w:rFonts w:hint="eastAsia" w:ascii="方正小标宋_GBK" w:hAnsi="方正小标宋_GBK" w:eastAsia="方正小标宋_GBK" w:cs="方正小标宋_GBK"/>
          <w:sz w:val="44"/>
          <w:szCs w:val="44"/>
        </w:rPr>
        <w:t>管理暂行办法》的通知</w:t>
      </w:r>
    </w:p>
    <w:p>
      <w:pPr>
        <w:keepNext w:val="0"/>
        <w:keepLines w:val="0"/>
        <w:pageBreakBefore w:val="0"/>
        <w:kinsoku/>
        <w:wordWrap/>
        <w:overflowPunct/>
        <w:topLinePunct w:val="0"/>
        <w:autoSpaceDE/>
        <w:autoSpaceDN/>
        <w:bidi w:val="0"/>
        <w:adjustRightInd w:val="0"/>
        <w:snapToGrid/>
        <w:spacing w:line="590" w:lineRule="exact"/>
        <w:jc w:val="center"/>
        <w:textAlignment w:val="auto"/>
        <w:rPr>
          <w:rFonts w:hint="eastAsia" w:ascii="Times New Roman" w:hAnsi="Times New Roman" w:eastAsia="方正仿宋_GBK" w:cs="方正仿宋_GBK"/>
          <w:bCs/>
          <w:color w:val="000000"/>
          <w:sz w:val="32"/>
          <w:szCs w:val="32"/>
        </w:rPr>
      </w:pPr>
      <w:r>
        <w:rPr>
          <w:rFonts w:hint="eastAsia" w:ascii="Times New Roman" w:hAnsi="Times New Roman" w:eastAsia="方正仿宋_GBK" w:cs="方正仿宋_GBK"/>
          <w:bCs/>
          <w:color w:val="000000"/>
          <w:sz w:val="32"/>
          <w:szCs w:val="32"/>
        </w:rPr>
        <w:t>宿公管委办〔20</w:t>
      </w:r>
      <w:r>
        <w:rPr>
          <w:rFonts w:hint="eastAsia" w:ascii="Times New Roman" w:hAnsi="Times New Roman" w:eastAsia="方正仿宋_GBK" w:cs="方正仿宋_GBK"/>
          <w:bCs/>
          <w:color w:val="000000"/>
          <w:sz w:val="32"/>
          <w:szCs w:val="32"/>
          <w:lang w:eastAsia="zh-CN"/>
        </w:rPr>
        <w:t>2</w:t>
      </w:r>
      <w:r>
        <w:rPr>
          <w:rFonts w:hint="eastAsia" w:ascii="Times New Roman" w:hAnsi="Times New Roman" w:eastAsia="方正仿宋_GBK" w:cs="方正仿宋_GBK"/>
          <w:bCs/>
          <w:color w:val="000000"/>
          <w:sz w:val="32"/>
          <w:szCs w:val="32"/>
          <w:lang w:val="en-US" w:eastAsia="zh-CN"/>
        </w:rPr>
        <w:t>1</w:t>
      </w:r>
      <w:r>
        <w:rPr>
          <w:rFonts w:hint="eastAsia" w:ascii="Times New Roman" w:hAnsi="Times New Roman" w:eastAsia="方正仿宋_GBK" w:cs="方正仿宋_GBK"/>
          <w:bCs/>
          <w:color w:val="000000"/>
          <w:sz w:val="32"/>
          <w:szCs w:val="32"/>
        </w:rPr>
        <w:t>〕</w:t>
      </w:r>
      <w:r>
        <w:rPr>
          <w:rFonts w:hint="eastAsia" w:ascii="Times New Roman" w:hAnsi="Times New Roman" w:eastAsia="方正仿宋_GBK" w:cs="方正仿宋_GBK"/>
          <w:bCs/>
          <w:color w:val="000000"/>
          <w:sz w:val="32"/>
          <w:szCs w:val="32"/>
          <w:lang w:val="en-US" w:eastAsia="zh-CN"/>
        </w:rPr>
        <w:t>1</w:t>
      </w:r>
      <w:r>
        <w:rPr>
          <w:rFonts w:hint="eastAsia" w:ascii="Times New Roman" w:hAnsi="Times New Roman" w:eastAsia="方正仿宋_GBK" w:cs="方正仿宋_GBK"/>
          <w:bCs/>
          <w:color w:val="000000"/>
          <w:sz w:val="32"/>
          <w:szCs w:val="32"/>
        </w:rPr>
        <w:t>号</w:t>
      </w:r>
    </w:p>
    <w:p>
      <w:pPr>
        <w:keepNext w:val="0"/>
        <w:keepLines w:val="0"/>
        <w:pageBreakBefore w:val="0"/>
        <w:kinsoku/>
        <w:wordWrap/>
        <w:overflowPunct/>
        <w:topLinePunct w:val="0"/>
        <w:autoSpaceDE/>
        <w:autoSpaceDN/>
        <w:bidi w:val="0"/>
        <w:adjustRightInd w:val="0"/>
        <w:snapToGrid/>
        <w:spacing w:line="590" w:lineRule="exact"/>
        <w:jc w:val="center"/>
        <w:textAlignment w:val="auto"/>
        <w:rPr>
          <w:rFonts w:hint="eastAsia" w:ascii="Times New Roman" w:hAnsi="Times New Roman" w:eastAsia="方正仿宋_GBK" w:cs="方正仿宋_GBK"/>
          <w:bCs/>
          <w:color w:val="000000"/>
          <w:sz w:val="32"/>
          <w:szCs w:val="32"/>
        </w:rPr>
      </w:pPr>
    </w:p>
    <w:p>
      <w:pPr>
        <w:keepNext w:val="0"/>
        <w:keepLines w:val="0"/>
        <w:pageBreakBefore w:val="0"/>
        <w:kinsoku/>
        <w:wordWrap/>
        <w:overflowPunct/>
        <w:topLinePunct w:val="0"/>
        <w:autoSpaceDE/>
        <w:autoSpaceDN/>
        <w:bidi w:val="0"/>
        <w:adjustRightInd w:val="0"/>
        <w:snapToGrid/>
        <w:spacing w:line="590" w:lineRule="exact"/>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color w:val="222222"/>
          <w:kern w:val="0"/>
          <w:sz w:val="32"/>
          <w:szCs w:val="32"/>
        </w:rPr>
        <w:t>各县、区人民政府，市政府各部门、各直属单位：</w:t>
      </w:r>
    </w:p>
    <w:p>
      <w:pPr>
        <w:keepNext w:val="0"/>
        <w:keepLines w:val="0"/>
        <w:pageBreakBefore w:val="0"/>
        <w:kinsoku/>
        <w:wordWrap/>
        <w:overflowPunct/>
        <w:topLinePunct w:val="0"/>
        <w:autoSpaceDE/>
        <w:autoSpaceDN/>
        <w:bidi w:val="0"/>
        <w:adjustRightInd w:val="0"/>
        <w:snapToGrid/>
        <w:spacing w:line="590" w:lineRule="exact"/>
        <w:ind w:firstLine="640" w:firstLineChars="200"/>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color w:val="222222"/>
          <w:kern w:val="0"/>
          <w:sz w:val="32"/>
          <w:szCs w:val="32"/>
          <w:lang w:eastAsia="zh-CN"/>
        </w:rPr>
        <w:t>经研究，现将</w:t>
      </w:r>
      <w:r>
        <w:rPr>
          <w:rFonts w:hint="eastAsia" w:ascii="Times New Roman" w:hAnsi="Times New Roman" w:eastAsia="方正仿宋_GBK" w:cs="方正仿宋_GBK"/>
          <w:color w:val="222222"/>
          <w:kern w:val="0"/>
          <w:sz w:val="32"/>
          <w:szCs w:val="32"/>
        </w:rPr>
        <w:t>《宿州市</w:t>
      </w:r>
      <w:r>
        <w:rPr>
          <w:rFonts w:hint="eastAsia" w:ascii="Times New Roman" w:hAnsi="Times New Roman" w:eastAsia="方正仿宋_GBK" w:cs="方正仿宋_GBK"/>
          <w:color w:val="222222"/>
          <w:kern w:val="0"/>
          <w:sz w:val="32"/>
          <w:szCs w:val="32"/>
          <w:lang w:val="en-US" w:eastAsia="zh-CN"/>
        </w:rPr>
        <w:t>公共资源交易招标代理机构</w:t>
      </w:r>
      <w:r>
        <w:rPr>
          <w:rFonts w:hint="eastAsia" w:ascii="Times New Roman" w:hAnsi="Times New Roman" w:eastAsia="方正仿宋_GBK" w:cs="方正仿宋_GBK"/>
          <w:color w:val="222222"/>
          <w:kern w:val="0"/>
          <w:sz w:val="32"/>
          <w:szCs w:val="32"/>
        </w:rPr>
        <w:t>管理暂行办法》印发给你们，请遵照执行。</w:t>
      </w:r>
    </w:p>
    <w:p>
      <w:pPr>
        <w:keepNext w:val="0"/>
        <w:keepLines w:val="0"/>
        <w:pageBreakBefore w:val="0"/>
        <w:kinsoku/>
        <w:wordWrap/>
        <w:overflowPunct/>
        <w:topLinePunct w:val="0"/>
        <w:autoSpaceDE/>
        <w:autoSpaceDN/>
        <w:bidi w:val="0"/>
        <w:snapToGrid/>
        <w:spacing w:line="590" w:lineRule="exact"/>
        <w:textAlignment w:val="auto"/>
        <w:rPr>
          <w:rFonts w:hint="eastAsia" w:ascii="Times New Roman" w:hAnsi="Times New Roman" w:eastAsia="方正仿宋_GBK" w:cs="方正仿宋_GBK"/>
          <w:sz w:val="32"/>
          <w:szCs w:val="32"/>
        </w:rPr>
      </w:pPr>
    </w:p>
    <w:p>
      <w:pPr>
        <w:keepNext w:val="0"/>
        <w:keepLines w:val="0"/>
        <w:pageBreakBefore w:val="0"/>
        <w:kinsoku/>
        <w:wordWrap/>
        <w:overflowPunct/>
        <w:topLinePunct w:val="0"/>
        <w:autoSpaceDE/>
        <w:autoSpaceDN/>
        <w:bidi w:val="0"/>
        <w:snapToGrid/>
        <w:spacing w:line="590" w:lineRule="exact"/>
        <w:ind w:right="640" w:firstLine="800" w:firstLineChars="250"/>
        <w:jc w:val="center"/>
        <w:textAlignment w:val="auto"/>
        <w:rPr>
          <w:rFonts w:hint="eastAsia" w:ascii="Times New Roman" w:hAnsi="Times New Roman" w:eastAsia="方正仿宋_GBK" w:cs="方正仿宋_GBK"/>
          <w:sz w:val="32"/>
          <w:szCs w:val="32"/>
        </w:rPr>
      </w:pPr>
      <w:r>
        <w:rPr>
          <w:rFonts w:hint="eastAsia" w:ascii="Times New Roman" w:hAnsi="Times New Roman" w:eastAsia="方正仿宋_GBK" w:cs="方正仿宋_GBK"/>
          <w:sz w:val="32"/>
          <w:szCs w:val="32"/>
        </w:rPr>
        <w:t xml:space="preserve">              </w:t>
      </w:r>
      <w:r>
        <w:rPr>
          <w:rFonts w:hint="eastAsia" w:ascii="Times New Roman" w:hAnsi="Times New Roman" w:eastAsia="方正仿宋_GBK" w:cs="方正仿宋_GBK"/>
          <w:sz w:val="32"/>
          <w:szCs w:val="32"/>
          <w:lang w:val="en-US" w:eastAsia="zh-CN"/>
        </w:rPr>
        <w:t xml:space="preserve">              </w:t>
      </w:r>
      <w:r>
        <w:rPr>
          <w:rFonts w:hint="eastAsia" w:ascii="Times New Roman" w:hAnsi="Times New Roman" w:eastAsia="方正仿宋_GBK" w:cs="方正仿宋_GBK"/>
          <w:sz w:val="32"/>
          <w:szCs w:val="32"/>
        </w:rPr>
        <w:t xml:space="preserve"> 20</w:t>
      </w:r>
      <w:r>
        <w:rPr>
          <w:rFonts w:hint="eastAsia" w:ascii="Times New Roman" w:hAnsi="Times New Roman" w:eastAsia="方正仿宋_GBK" w:cs="方正仿宋_GBK"/>
          <w:sz w:val="32"/>
          <w:szCs w:val="32"/>
          <w:lang w:val="en-US" w:eastAsia="zh-CN"/>
        </w:rPr>
        <w:t>21</w:t>
      </w:r>
      <w:r>
        <w:rPr>
          <w:rFonts w:hint="eastAsia" w:ascii="Times New Roman" w:hAnsi="Times New Roman" w:eastAsia="方正仿宋_GBK" w:cs="方正仿宋_GBK"/>
          <w:sz w:val="32"/>
          <w:szCs w:val="32"/>
        </w:rPr>
        <w:t>年</w:t>
      </w:r>
      <w:r>
        <w:rPr>
          <w:rFonts w:hint="eastAsia" w:ascii="Times New Roman" w:hAnsi="Times New Roman" w:eastAsia="方正仿宋_GBK" w:cs="方正仿宋_GBK"/>
          <w:sz w:val="32"/>
          <w:szCs w:val="32"/>
          <w:lang w:val="en-US" w:eastAsia="zh-CN"/>
        </w:rPr>
        <w:t>10</w:t>
      </w:r>
      <w:r>
        <w:rPr>
          <w:rFonts w:hint="eastAsia" w:ascii="Times New Roman" w:hAnsi="Times New Roman" w:eastAsia="方正仿宋_GBK" w:cs="方正仿宋_GBK"/>
          <w:sz w:val="32"/>
          <w:szCs w:val="32"/>
        </w:rPr>
        <w:t>月</w:t>
      </w:r>
      <w:r>
        <w:rPr>
          <w:rFonts w:hint="eastAsia" w:ascii="Times New Roman" w:hAnsi="Times New Roman" w:eastAsia="方正仿宋_GBK" w:cs="方正仿宋_GBK"/>
          <w:sz w:val="32"/>
          <w:szCs w:val="32"/>
          <w:lang w:val="en-US" w:eastAsia="zh-CN"/>
        </w:rPr>
        <w:t>29</w:t>
      </w:r>
      <w:r>
        <w:rPr>
          <w:rFonts w:hint="eastAsia" w:ascii="Times New Roman" w:hAnsi="Times New Roman" w:eastAsia="方正仿宋_GBK" w:cs="方正仿宋_GBK"/>
          <w:sz w:val="32"/>
          <w:szCs w:val="32"/>
        </w:rPr>
        <w:t>日</w:t>
      </w:r>
    </w:p>
    <w:p>
      <w:pPr>
        <w:keepNext w:val="0"/>
        <w:keepLines w:val="0"/>
        <w:pageBreakBefore w:val="0"/>
        <w:kinsoku/>
        <w:wordWrap/>
        <w:overflowPunct/>
        <w:topLinePunct w:val="0"/>
        <w:autoSpaceDE/>
        <w:autoSpaceDN/>
        <w:bidi w:val="0"/>
        <w:snapToGrid/>
        <w:spacing w:line="590" w:lineRule="exact"/>
        <w:ind w:right="640" w:firstLine="800" w:firstLineChars="250"/>
        <w:jc w:val="center"/>
        <w:textAlignment w:val="auto"/>
        <w:rPr>
          <w:rFonts w:hint="eastAsia" w:ascii="仿宋_GB2312" w:hAnsi="Times New Roman" w:eastAsia="仿宋_GB2312" w:cs="Times New Roman"/>
          <w:sz w:val="32"/>
          <w:szCs w:val="3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rPr>
      </w:pP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宿州市公共资源交易招标代理机构管理</w:t>
      </w:r>
    </w:p>
    <w:p>
      <w:pPr>
        <w:keepNext w:val="0"/>
        <w:keepLines w:val="0"/>
        <w:pageBreakBefore w:val="0"/>
        <w:widowControl w:val="0"/>
        <w:kinsoku/>
        <w:wordWrap/>
        <w:overflowPunct/>
        <w:topLinePunct w:val="0"/>
        <w:autoSpaceDE/>
        <w:autoSpaceDN/>
        <w:bidi w:val="0"/>
        <w:adjustRightInd/>
        <w:snapToGrid/>
        <w:spacing w:line="590" w:lineRule="exact"/>
        <w:jc w:val="center"/>
        <w:textAlignment w:val="auto"/>
        <w:rPr>
          <w:rFonts w:hint="eastAsia" w:ascii="方正小标宋_GBK" w:hAnsi="方正小标宋_GBK" w:eastAsia="方正小标宋_GBK" w:cs="方正小标宋_GBK"/>
          <w:color w:val="auto"/>
          <w:sz w:val="42"/>
          <w:szCs w:val="42"/>
          <w:lang w:val="en-US" w:eastAsia="zh-CN"/>
        </w:rPr>
      </w:pPr>
      <w:r>
        <w:rPr>
          <w:rFonts w:hint="eastAsia" w:ascii="方正小标宋_GBK" w:hAnsi="方正小标宋_GBK" w:eastAsia="方正小标宋_GBK" w:cs="方正小标宋_GBK"/>
          <w:sz w:val="44"/>
          <w:szCs w:val="44"/>
          <w:lang w:val="en-US" w:eastAsia="zh-CN"/>
        </w:rPr>
        <w:t>暂行办法</w:t>
      </w:r>
    </w:p>
    <w:p>
      <w:pPr>
        <w:keepNext w:val="0"/>
        <w:keepLines w:val="0"/>
        <w:pageBreakBefore w:val="0"/>
        <w:widowControl w:val="0"/>
        <w:kinsoku/>
        <w:wordWrap/>
        <w:overflowPunct/>
        <w:topLinePunct w:val="0"/>
        <w:autoSpaceDE/>
        <w:autoSpaceDN/>
        <w:bidi w:val="0"/>
        <w:adjustRightInd/>
        <w:snapToGrid/>
        <w:spacing w:line="590" w:lineRule="exact"/>
        <w:ind w:firstLine="0" w:firstLineChars="0"/>
        <w:jc w:val="both"/>
        <w:textAlignment w:val="auto"/>
        <w:rPr>
          <w:rFonts w:hint="eastAsia" w:ascii="仿宋_GB2312" w:hAnsi="方正黑体简体" w:eastAsia="仿宋_GB2312" w:cs="方正黑体简体"/>
          <w:color w:val="auto"/>
          <w:kern w:val="2"/>
          <w:sz w:val="32"/>
          <w:szCs w:val="32"/>
          <w:lang w:val="en-US" w:eastAsia="zh-CN" w:bidi="ar-SA"/>
        </w:rPr>
      </w:pPr>
    </w:p>
    <w:p>
      <w:pPr>
        <w:keepNext w:val="0"/>
        <w:keepLines w:val="0"/>
        <w:pageBreakBefore w:val="0"/>
        <w:widowControl w:val="0"/>
        <w:kinsoku/>
        <w:wordWrap/>
        <w:overflowPunct/>
        <w:topLinePunct w:val="0"/>
        <w:autoSpaceDE/>
        <w:autoSpaceDN/>
        <w:bidi w:val="0"/>
        <w:adjustRightInd/>
        <w:snapToGrid/>
        <w:spacing w:after="0" w:afterLines="0" w:line="590" w:lineRule="exact"/>
        <w:ind w:firstLine="0" w:firstLineChars="0"/>
        <w:jc w:val="center"/>
        <w:textAlignment w:val="auto"/>
        <w:rPr>
          <w:rFonts w:hint="eastAsia" w:ascii="黑体" w:hAnsi="黑体" w:eastAsia="黑体" w:cs="方正黑体简体"/>
          <w:color w:val="auto"/>
          <w:kern w:val="2"/>
          <w:sz w:val="32"/>
          <w:szCs w:val="32"/>
          <w:lang w:val="en-US" w:eastAsia="zh-CN" w:bidi="ar-SA"/>
        </w:rPr>
      </w:pPr>
      <w:r>
        <w:rPr>
          <w:rFonts w:hint="eastAsia" w:ascii="方正黑体_GBK" w:hAnsi="方正黑体_GBK" w:eastAsia="方正黑体_GBK" w:cs="方正黑体_GBK"/>
          <w:color w:val="auto"/>
          <w:kern w:val="2"/>
          <w:sz w:val="32"/>
          <w:szCs w:val="32"/>
          <w:lang w:val="en-US" w:eastAsia="zh-CN" w:bidi="ar-SA"/>
        </w:rPr>
        <w:t>第一章 总则</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第一条</w:t>
      </w:r>
      <w:r>
        <w:rPr>
          <w:rFonts w:hint="eastAsia" w:ascii="仿宋_GB2312" w:hAnsi="仿宋_GB2312" w:eastAsia="仿宋_GB2312" w:cs="仿宋_GB2312"/>
          <w:b w:val="0"/>
          <w:bCs/>
          <w:color w:val="auto"/>
          <w:sz w:val="32"/>
          <w:szCs w:val="32"/>
        </w:rPr>
        <w:t xml:space="preserve"> </w:t>
      </w:r>
      <w:r>
        <w:rPr>
          <w:rFonts w:hint="eastAsia" w:ascii="仿宋_GB2312" w:hAnsi="仿宋_GB2312" w:eastAsia="仿宋_GB2312" w:cs="仿宋_GB2312"/>
          <w:color w:val="auto"/>
          <w:sz w:val="32"/>
          <w:szCs w:val="32"/>
        </w:rPr>
        <w:t>为加强</w:t>
      </w:r>
      <w:r>
        <w:rPr>
          <w:rFonts w:hint="eastAsia" w:ascii="仿宋_GB2312" w:hAnsi="仿宋_GB2312" w:eastAsia="仿宋_GB2312" w:cs="仿宋_GB2312"/>
          <w:color w:val="auto"/>
          <w:sz w:val="32"/>
          <w:szCs w:val="32"/>
          <w:lang w:eastAsia="zh-CN"/>
        </w:rPr>
        <w:t>公共资源交易</w:t>
      </w:r>
      <w:r>
        <w:rPr>
          <w:rFonts w:hint="eastAsia" w:ascii="仿宋_GB2312" w:hAnsi="仿宋_GB2312" w:eastAsia="仿宋_GB2312" w:cs="仿宋_GB2312"/>
          <w:color w:val="auto"/>
          <w:sz w:val="32"/>
          <w:szCs w:val="32"/>
        </w:rPr>
        <w:t>招标代理机构管理，规范招标代理机构活动，维护公开、公平、公正的市场秩序，根据《中华人民共和国招标投标法》、《中华人民共和国招标投标法实施条例》</w:t>
      </w:r>
      <w:r>
        <w:rPr>
          <w:rFonts w:hint="eastAsia" w:ascii="仿宋_GB2312" w:hAnsi="仿宋_GB2312" w:eastAsia="仿宋_GB2312" w:cs="仿宋_GB2312"/>
          <w:color w:val="auto"/>
          <w:sz w:val="32"/>
          <w:szCs w:val="32"/>
          <w:lang w:eastAsia="zh-CN"/>
        </w:rPr>
        <w:t>、《中华人民共和国政府采购法》、《中华人民共和国政府采购法实施条例》</w:t>
      </w:r>
      <w:r>
        <w:rPr>
          <w:rFonts w:hint="eastAsia" w:ascii="仿宋_GB2312" w:hAnsi="仿宋_GB2312" w:eastAsia="仿宋_GB2312" w:cs="仿宋_GB2312"/>
          <w:color w:val="auto"/>
          <w:sz w:val="32"/>
          <w:szCs w:val="32"/>
        </w:rPr>
        <w:t>等法律法规，结合本市实际，制定本办法。</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第二条</w:t>
      </w:r>
      <w:r>
        <w:rPr>
          <w:rFonts w:hint="eastAsia" w:ascii="仿宋_GB2312" w:hAnsi="仿宋_GB2312" w:eastAsia="仿宋_GB2312" w:cs="仿宋_GB2312"/>
          <w:b w:val="0"/>
          <w:bCs/>
          <w:color w:val="auto"/>
          <w:sz w:val="32"/>
          <w:szCs w:val="32"/>
        </w:rPr>
        <w:t xml:space="preserve"> </w:t>
      </w:r>
      <w:r>
        <w:rPr>
          <w:rFonts w:hint="eastAsia" w:ascii="仿宋_GB2312" w:hAnsi="仿宋_GB2312" w:eastAsia="仿宋_GB2312" w:cs="仿宋_GB2312"/>
          <w:color w:val="auto"/>
          <w:sz w:val="32"/>
          <w:szCs w:val="32"/>
        </w:rPr>
        <w:t>本办法适用于</w:t>
      </w:r>
      <w:r>
        <w:rPr>
          <w:rFonts w:hint="eastAsia" w:ascii="仿宋_GB2312" w:hAnsi="仿宋_GB2312" w:eastAsia="仿宋_GB2312" w:cs="仿宋_GB2312"/>
          <w:color w:val="auto"/>
          <w:sz w:val="32"/>
          <w:szCs w:val="32"/>
          <w:lang w:eastAsia="zh-CN"/>
        </w:rPr>
        <w:t>在本市公共资源交易平台开展代理服务的招标代理机构及其从业人员的</w:t>
      </w:r>
      <w:r>
        <w:rPr>
          <w:rFonts w:hint="eastAsia" w:ascii="仿宋_GB2312" w:hAnsi="仿宋_GB2312" w:eastAsia="仿宋_GB2312" w:cs="仿宋_GB2312"/>
          <w:color w:val="auto"/>
          <w:sz w:val="32"/>
          <w:szCs w:val="32"/>
        </w:rPr>
        <w:t>名录登记、从业管理、信用评价及监督检查等活动。</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本办法所称招标代理机构（以下简称代理机构），是指依法接受委托</w:t>
      </w:r>
      <w:r>
        <w:rPr>
          <w:rFonts w:hint="eastAsia" w:ascii="仿宋_GB2312" w:hAnsi="仿宋_GB2312" w:eastAsia="仿宋_GB2312" w:cs="仿宋_GB2312"/>
          <w:color w:val="auto"/>
          <w:sz w:val="32"/>
          <w:szCs w:val="32"/>
          <w:lang w:eastAsia="zh-CN"/>
        </w:rPr>
        <w:t>人</w:t>
      </w:r>
      <w:r>
        <w:rPr>
          <w:rFonts w:hint="eastAsia" w:ascii="仿宋_GB2312" w:hAnsi="仿宋_GB2312" w:eastAsia="仿宋_GB2312" w:cs="仿宋_GB2312"/>
          <w:color w:val="auto"/>
          <w:sz w:val="32"/>
          <w:szCs w:val="32"/>
        </w:rPr>
        <w:t>代为</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"https://baike.so.com/doc/5403552-5641248.html" \t "https://baike.so.com/doc/_blank"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组织</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lang w:eastAsia="zh-CN"/>
        </w:rPr>
        <w:t>交易</w:t>
      </w:r>
      <w:r>
        <w:rPr>
          <w:rFonts w:hint="eastAsia" w:ascii="仿宋_GB2312" w:hAnsi="仿宋_GB2312" w:eastAsia="仿宋_GB2312" w:cs="仿宋_GB2312"/>
          <w:color w:val="auto"/>
          <w:sz w:val="32"/>
          <w:szCs w:val="32"/>
        </w:rPr>
        <w:t>活动并提供相关服务的社会中介组织。</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第三条</w:t>
      </w:r>
      <w:r>
        <w:rPr>
          <w:rFonts w:hint="eastAsia" w:ascii="楷体" w:hAnsi="楷体" w:eastAsia="楷体" w:cs="楷体"/>
          <w:color w:val="auto"/>
          <w:sz w:val="32"/>
          <w:szCs w:val="32"/>
        </w:rPr>
        <w:t xml:space="preserve"> </w:t>
      </w:r>
      <w:r>
        <w:rPr>
          <w:rFonts w:hint="eastAsia" w:ascii="仿宋_GB2312" w:hAnsi="仿宋_GB2312" w:eastAsia="仿宋_GB2312" w:cs="仿宋_GB2312"/>
          <w:color w:val="auto"/>
          <w:sz w:val="32"/>
          <w:szCs w:val="32"/>
        </w:rPr>
        <w:t>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管理局</w:t>
      </w:r>
      <w:r>
        <w:rPr>
          <w:rFonts w:hint="eastAsia" w:ascii="仿宋_GB2312" w:hAnsi="仿宋_GB2312" w:eastAsia="仿宋_GB2312" w:cs="仿宋_GB2312"/>
          <w:color w:val="auto"/>
          <w:sz w:val="32"/>
          <w:szCs w:val="32"/>
          <w:lang w:eastAsia="zh-CN"/>
        </w:rPr>
        <w:t>和各行业主管部门</w:t>
      </w:r>
      <w:r>
        <w:rPr>
          <w:rFonts w:hint="eastAsia" w:ascii="仿宋_GB2312" w:hAnsi="仿宋_GB2312" w:eastAsia="仿宋_GB2312" w:cs="仿宋_GB2312"/>
          <w:color w:val="auto"/>
          <w:sz w:val="32"/>
          <w:szCs w:val="32"/>
        </w:rPr>
        <w:t>负责对代理机构在本市范围内从事</w:t>
      </w:r>
      <w:r>
        <w:rPr>
          <w:rFonts w:hint="eastAsia" w:ascii="仿宋_GB2312" w:hAnsi="仿宋_GB2312" w:eastAsia="仿宋_GB2312" w:cs="仿宋_GB2312"/>
          <w:color w:val="auto"/>
          <w:sz w:val="32"/>
          <w:szCs w:val="32"/>
          <w:lang w:eastAsia="zh-CN"/>
        </w:rPr>
        <w:t>公共资源交易</w:t>
      </w:r>
      <w:r>
        <w:rPr>
          <w:rFonts w:hint="eastAsia" w:ascii="仿宋_GB2312" w:hAnsi="仿宋_GB2312" w:eastAsia="仿宋_GB2312" w:cs="仿宋_GB2312"/>
          <w:color w:val="auto"/>
          <w:sz w:val="32"/>
          <w:szCs w:val="32"/>
        </w:rPr>
        <w:t>招标代理业务进行监督管理。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县（区）公共资源交易综合管理部门</w:t>
      </w:r>
      <w:r>
        <w:rPr>
          <w:rFonts w:hint="eastAsia" w:ascii="仿宋_GB2312" w:hAnsi="仿宋_GB2312" w:eastAsia="仿宋_GB2312" w:cs="仿宋_GB2312"/>
          <w:color w:val="auto"/>
          <w:sz w:val="32"/>
          <w:szCs w:val="32"/>
          <w:lang w:eastAsia="zh-CN"/>
        </w:rPr>
        <w:t>和各行业主管部门</w:t>
      </w:r>
      <w:r>
        <w:rPr>
          <w:rFonts w:hint="eastAsia" w:ascii="仿宋_GB2312" w:hAnsi="仿宋_GB2312" w:eastAsia="仿宋_GB2312" w:cs="仿宋_GB2312"/>
          <w:color w:val="auto"/>
          <w:sz w:val="32"/>
          <w:szCs w:val="32"/>
        </w:rPr>
        <w:t>负责对代理机构在本辖区范围内从事</w:t>
      </w:r>
      <w:r>
        <w:rPr>
          <w:rFonts w:hint="eastAsia" w:ascii="仿宋_GB2312" w:hAnsi="仿宋_GB2312" w:eastAsia="仿宋_GB2312" w:cs="仿宋_GB2312"/>
          <w:color w:val="auto"/>
          <w:sz w:val="32"/>
          <w:szCs w:val="32"/>
          <w:lang w:eastAsia="zh-CN"/>
        </w:rPr>
        <w:t>公共资源交易</w:t>
      </w:r>
      <w:r>
        <w:rPr>
          <w:rFonts w:hint="eastAsia" w:ascii="仿宋_GB2312" w:hAnsi="仿宋_GB2312" w:eastAsia="仿宋_GB2312" w:cs="仿宋_GB2312"/>
          <w:color w:val="auto"/>
          <w:sz w:val="32"/>
          <w:szCs w:val="32"/>
        </w:rPr>
        <w:t>招标代理业务进行监督管理。</w:t>
      </w:r>
    </w:p>
    <w:p>
      <w:pPr>
        <w:keepNext w:val="0"/>
        <w:keepLines w:val="0"/>
        <w:pageBreakBefore w:val="0"/>
        <w:kinsoku/>
        <w:wordWrap/>
        <w:overflowPunct/>
        <w:topLinePunct w:val="0"/>
        <w:autoSpaceDE/>
        <w:autoSpaceDN/>
        <w:bidi w:val="0"/>
        <w:adjustRightInd/>
        <w:snapToGrid/>
        <w:spacing w:line="590" w:lineRule="exact"/>
        <w:ind w:firstLine="640" w:firstLineChars="200"/>
        <w:jc w:val="center"/>
        <w:textAlignment w:val="auto"/>
        <w:rPr>
          <w:rFonts w:hint="eastAsia" w:ascii="仿宋_GB2312" w:hAnsi="仿宋_GB2312" w:eastAsia="仿宋_GB2312" w:cs="仿宋_GB2312"/>
          <w:color w:val="auto"/>
          <w:sz w:val="32"/>
          <w:szCs w:val="32"/>
        </w:rPr>
      </w:pPr>
    </w:p>
    <w:p>
      <w:pPr>
        <w:keepNext w:val="0"/>
        <w:keepLines w:val="0"/>
        <w:pageBreakBefore w:val="0"/>
        <w:widowControl/>
        <w:kinsoku/>
        <w:wordWrap/>
        <w:overflowPunct/>
        <w:topLinePunct w:val="0"/>
        <w:autoSpaceDE/>
        <w:autoSpaceDN/>
        <w:bidi w:val="0"/>
        <w:adjustRightInd/>
        <w:snapToGrid/>
        <w:spacing w:before="0" w:beforeAutospacing="0" w:after="64" w:afterLines="20" w:afterAutospacing="0" w:line="590" w:lineRule="exact"/>
        <w:ind w:left="0" w:leftChars="0" w:firstLine="0" w:firstLineChars="0"/>
        <w:jc w:val="center"/>
        <w:textAlignment w:val="auto"/>
        <w:rPr>
          <w:rFonts w:hint="eastAsia" w:ascii="方正黑体_GBK" w:hAnsi="方正黑体_GBK" w:eastAsia="方正黑体_GBK" w:cs="方正黑体_GBK"/>
          <w:color w:val="auto"/>
          <w:kern w:val="0"/>
          <w:sz w:val="32"/>
          <w:szCs w:val="32"/>
          <w:lang w:val="en-US" w:eastAsia="zh-CN" w:bidi="ar-SA"/>
        </w:rPr>
      </w:pPr>
      <w:r>
        <w:rPr>
          <w:rFonts w:hint="eastAsia" w:ascii="方正黑体_GBK" w:hAnsi="方正黑体_GBK" w:eastAsia="方正黑体_GBK" w:cs="方正黑体_GBK"/>
          <w:color w:val="auto"/>
          <w:kern w:val="0"/>
          <w:sz w:val="32"/>
          <w:szCs w:val="32"/>
          <w:lang w:val="en-US" w:eastAsia="zh-CN" w:bidi="ar-SA"/>
        </w:rPr>
        <w:t>第二章 名录登记</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第四条</w:t>
      </w:r>
      <w:r>
        <w:rPr>
          <w:rFonts w:hint="eastAsia" w:ascii="仿宋_GB2312" w:hAnsi="仿宋_GB2312" w:eastAsia="仿宋_GB2312" w:cs="仿宋_GB2312"/>
          <w:color w:val="auto"/>
          <w:sz w:val="32"/>
          <w:szCs w:val="32"/>
        </w:rPr>
        <w:t xml:space="preserve"> 代理机构实行名录登记</w:t>
      </w:r>
      <w:r>
        <w:rPr>
          <w:rFonts w:hint="eastAsia" w:ascii="仿宋_GB2312" w:hAnsi="仿宋_GB2312" w:eastAsia="仿宋_GB2312" w:cs="仿宋_GB2312"/>
          <w:color w:val="auto"/>
          <w:sz w:val="32"/>
          <w:szCs w:val="32"/>
          <w:lang w:eastAsia="zh-CN"/>
        </w:rPr>
        <w:t>，由</w:t>
      </w:r>
      <w:r>
        <w:rPr>
          <w:rFonts w:hint="eastAsia" w:ascii="仿宋_GB2312" w:hAnsi="仿宋_GB2312" w:eastAsia="仿宋_GB2312" w:cs="仿宋_GB2312"/>
          <w:color w:val="auto"/>
          <w:sz w:val="32"/>
          <w:szCs w:val="32"/>
        </w:rPr>
        <w:t>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sz w:val="32"/>
          <w:szCs w:val="32"/>
        </w:rPr>
        <w:t>局</w:t>
      </w:r>
      <w:r>
        <w:rPr>
          <w:rFonts w:hint="eastAsia" w:ascii="仿宋_GB2312" w:hAnsi="仿宋_GB2312" w:eastAsia="仿宋_GB2312" w:cs="仿宋_GB2312"/>
          <w:color w:val="auto"/>
          <w:sz w:val="32"/>
          <w:szCs w:val="32"/>
          <w:lang w:eastAsia="zh-CN"/>
        </w:rPr>
        <w:t>管理</w:t>
      </w:r>
      <w:r>
        <w:rPr>
          <w:rFonts w:hint="eastAsia" w:ascii="仿宋_GB2312" w:hAnsi="仿宋_GB2312" w:eastAsia="仿宋_GB2312" w:cs="仿宋_GB2312"/>
          <w:color w:val="auto"/>
          <w:sz w:val="32"/>
          <w:szCs w:val="32"/>
        </w:rPr>
        <w:t>代理机构名录（以下简称名录）</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名录信息全市共享并向社会公开。</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第五条</w:t>
      </w:r>
      <w:r>
        <w:rPr>
          <w:rFonts w:hint="eastAsia" w:ascii="仿宋_GB2312" w:hAnsi="仿宋_GB2312" w:eastAsia="仿宋_GB2312" w:cs="仿宋_GB2312"/>
          <w:b w:val="0"/>
          <w:bCs/>
          <w:color w:val="auto"/>
          <w:sz w:val="32"/>
          <w:szCs w:val="32"/>
        </w:rPr>
        <w:t xml:space="preserve"> </w:t>
      </w:r>
      <w:r>
        <w:rPr>
          <w:rFonts w:hint="eastAsia" w:ascii="仿宋_GB2312" w:hAnsi="仿宋_GB2312" w:eastAsia="仿宋_GB2312" w:cs="仿宋_GB2312"/>
          <w:color w:val="auto"/>
          <w:sz w:val="32"/>
          <w:szCs w:val="32"/>
        </w:rPr>
        <w:t>代理机构拟进入本市从事</w:t>
      </w:r>
      <w:r>
        <w:rPr>
          <w:rFonts w:hint="eastAsia" w:ascii="仿宋_GB2312" w:hAnsi="仿宋_GB2312" w:eastAsia="仿宋_GB2312" w:cs="仿宋_GB2312"/>
          <w:color w:val="auto"/>
          <w:sz w:val="32"/>
          <w:szCs w:val="32"/>
          <w:lang w:eastAsia="zh-CN"/>
        </w:rPr>
        <w:t>公共资源交易</w:t>
      </w:r>
      <w:r>
        <w:rPr>
          <w:rFonts w:hint="eastAsia" w:ascii="仿宋_GB2312" w:hAnsi="仿宋_GB2312" w:eastAsia="仿宋_GB2312" w:cs="仿宋_GB2312"/>
          <w:color w:val="auto"/>
          <w:sz w:val="32"/>
          <w:szCs w:val="32"/>
        </w:rPr>
        <w:t>招标代理业务，应当</w:t>
      </w:r>
      <w:r>
        <w:rPr>
          <w:rFonts w:hint="eastAsia" w:ascii="仿宋_GB2312" w:hAnsi="仿宋_GB2312" w:eastAsia="仿宋_GB2312" w:cs="仿宋_GB2312"/>
          <w:color w:val="auto"/>
          <w:sz w:val="32"/>
          <w:szCs w:val="32"/>
          <w:lang w:eastAsia="zh-CN"/>
        </w:rPr>
        <w:t>用</w:t>
      </w:r>
      <w:r>
        <w:rPr>
          <w:rFonts w:hint="eastAsia" w:ascii="仿宋_GB2312" w:hAnsi="仿宋_GB2312" w:eastAsia="仿宋_GB2312" w:cs="仿宋_GB2312"/>
          <w:color w:val="auto"/>
          <w:sz w:val="32"/>
          <w:szCs w:val="32"/>
          <w:lang w:val="en-US" w:eastAsia="zh-CN"/>
        </w:rPr>
        <w:t>CA登陆宿州市公共资源交易平台代理端进行线上登记</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填报机构相关信息，</w:t>
      </w:r>
      <w:r>
        <w:rPr>
          <w:rFonts w:hint="eastAsia" w:ascii="仿宋_GB2312" w:hAnsi="仿宋_GB2312" w:eastAsia="仿宋_GB2312" w:cs="仿宋_GB2312"/>
          <w:color w:val="auto"/>
          <w:sz w:val="32"/>
          <w:szCs w:val="32"/>
        </w:rPr>
        <w:t>并承诺对以下信息真实性负责：</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（一）代理机构名称、</w:t>
      </w:r>
      <w:r>
        <w:rPr>
          <w:rFonts w:hint="eastAsia" w:ascii="仿宋_GB2312" w:hAnsi="仿宋_GB2312" w:eastAsia="仿宋_GB2312" w:cs="仿宋_GB2312"/>
          <w:color w:val="auto"/>
          <w:kern w:val="0"/>
          <w:sz w:val="32"/>
          <w:szCs w:val="32"/>
          <w:lang w:eastAsia="zh-CN"/>
        </w:rPr>
        <w:t>营业执照、</w:t>
      </w:r>
      <w:r>
        <w:rPr>
          <w:rFonts w:hint="eastAsia" w:ascii="仿宋_GB2312" w:hAnsi="仿宋_GB2312" w:eastAsia="仿宋_GB2312" w:cs="仿宋_GB2312"/>
          <w:color w:val="auto"/>
          <w:kern w:val="0"/>
          <w:sz w:val="32"/>
          <w:szCs w:val="32"/>
        </w:rPr>
        <w:t>统一社会信用代码、办公场所地址、联系电话等机构信息；</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w:t>
      </w:r>
      <w:r>
        <w:rPr>
          <w:rFonts w:hint="eastAsia" w:ascii="仿宋_GB2312" w:hAnsi="仿宋_GB2312" w:eastAsia="仿宋_GB2312" w:cs="仿宋_GB2312"/>
          <w:color w:val="auto"/>
          <w:kern w:val="0"/>
          <w:sz w:val="32"/>
          <w:szCs w:val="32"/>
          <w:lang w:eastAsia="zh-CN"/>
        </w:rPr>
        <w:t>二</w:t>
      </w:r>
      <w:r>
        <w:rPr>
          <w:rFonts w:hint="eastAsia" w:ascii="仿宋_GB2312" w:hAnsi="仿宋_GB2312" w:eastAsia="仿宋_GB2312" w:cs="仿宋_GB2312"/>
          <w:color w:val="auto"/>
          <w:kern w:val="0"/>
          <w:sz w:val="32"/>
          <w:szCs w:val="32"/>
        </w:rPr>
        <w:t>）内部监督管理制度，主要包括：人事管理制度、代理工作规则、合同管理办法、财务管理制度、档案管理办法等；</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w:t>
      </w:r>
      <w:r>
        <w:rPr>
          <w:rFonts w:hint="eastAsia" w:ascii="仿宋_GB2312" w:hAnsi="仿宋_GB2312" w:eastAsia="仿宋_GB2312" w:cs="仿宋_GB2312"/>
          <w:color w:val="auto"/>
          <w:kern w:val="0"/>
          <w:sz w:val="32"/>
          <w:szCs w:val="32"/>
          <w:lang w:eastAsia="zh-CN"/>
        </w:rPr>
        <w:t>三</w:t>
      </w:r>
      <w:r>
        <w:rPr>
          <w:rFonts w:hint="eastAsia" w:ascii="仿宋_GB2312" w:hAnsi="仿宋_GB2312" w:eastAsia="仿宋_GB2312" w:cs="仿宋_GB2312"/>
          <w:color w:val="auto"/>
          <w:kern w:val="0"/>
          <w:sz w:val="32"/>
          <w:szCs w:val="32"/>
        </w:rPr>
        <w:t>）政府投资性质工程建设</w:t>
      </w:r>
      <w:r>
        <w:rPr>
          <w:rFonts w:hint="eastAsia" w:ascii="仿宋_GB2312" w:hAnsi="仿宋_GB2312" w:eastAsia="仿宋_GB2312" w:cs="仿宋_GB2312"/>
          <w:color w:val="auto"/>
          <w:kern w:val="0"/>
          <w:sz w:val="32"/>
          <w:szCs w:val="32"/>
          <w:lang w:eastAsia="zh-CN"/>
        </w:rPr>
        <w:t>项目招标代理机构提供的</w:t>
      </w:r>
      <w:r>
        <w:rPr>
          <w:rFonts w:hint="eastAsia" w:ascii="仿宋_GB2312" w:hAnsi="仿宋_GB2312" w:eastAsia="仿宋_GB2312" w:cs="仿宋_GB2312"/>
          <w:color w:val="auto"/>
          <w:kern w:val="0"/>
          <w:sz w:val="32"/>
          <w:szCs w:val="32"/>
        </w:rPr>
        <w:t>注册执业人员及具有工程建设类职称</w:t>
      </w:r>
      <w:r>
        <w:rPr>
          <w:rFonts w:hint="eastAsia" w:ascii="仿宋_GB2312" w:hAnsi="仿宋_GB2312" w:eastAsia="仿宋_GB2312" w:cs="仿宋_GB2312"/>
          <w:color w:val="auto"/>
          <w:kern w:val="0"/>
          <w:sz w:val="32"/>
          <w:szCs w:val="32"/>
          <w:lang w:eastAsia="zh-CN"/>
        </w:rPr>
        <w:t>执业</w:t>
      </w:r>
      <w:r>
        <w:rPr>
          <w:rFonts w:hint="eastAsia" w:ascii="仿宋_GB2312" w:hAnsi="仿宋_GB2312" w:eastAsia="仿宋_GB2312" w:cs="仿宋_GB2312"/>
          <w:color w:val="auto"/>
          <w:kern w:val="0"/>
          <w:sz w:val="32"/>
          <w:szCs w:val="32"/>
        </w:rPr>
        <w:t>人员的职称证书</w:t>
      </w:r>
      <w:r>
        <w:rPr>
          <w:rFonts w:hint="eastAsia" w:ascii="仿宋_GB2312" w:hAnsi="仿宋_GB2312" w:eastAsia="仿宋_GB2312" w:cs="仿宋_GB2312"/>
          <w:color w:val="auto"/>
          <w:kern w:val="0"/>
          <w:sz w:val="32"/>
          <w:szCs w:val="32"/>
          <w:lang w:eastAsia="zh-CN"/>
        </w:rPr>
        <w:t>、</w:t>
      </w:r>
      <w:r>
        <w:rPr>
          <w:rFonts w:hint="eastAsia" w:ascii="仿宋_GB2312" w:hAnsi="仿宋_GB2312" w:eastAsia="仿宋_GB2312" w:cs="仿宋_GB2312"/>
          <w:color w:val="auto"/>
          <w:kern w:val="0"/>
          <w:sz w:val="32"/>
          <w:szCs w:val="32"/>
        </w:rPr>
        <w:t>执业证书</w:t>
      </w:r>
      <w:r>
        <w:rPr>
          <w:rFonts w:hint="eastAsia" w:ascii="仿宋_GB2312" w:hAnsi="仿宋_GB2312" w:eastAsia="仿宋_GB2312" w:cs="仿宋_GB2312"/>
          <w:color w:val="auto"/>
          <w:kern w:val="0"/>
          <w:sz w:val="32"/>
          <w:szCs w:val="32"/>
          <w:lang w:eastAsia="zh-CN"/>
        </w:rPr>
        <w:t>；政府采购项目招标代理机构提供的中国政府采购网或中国政府采购网省级分网登记（机构和人员）截图；</w:t>
      </w:r>
      <w:r>
        <w:rPr>
          <w:rFonts w:hint="eastAsia" w:ascii="仿宋_GB2312" w:hAnsi="仿宋_GB2312" w:eastAsia="仿宋_GB2312" w:cs="仿宋_GB2312"/>
          <w:color w:val="auto"/>
          <w:kern w:val="0"/>
          <w:sz w:val="32"/>
          <w:szCs w:val="32"/>
        </w:rPr>
        <w:t>社会保险缴纳凭证等信息；</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w:t>
      </w:r>
      <w:r>
        <w:rPr>
          <w:rFonts w:hint="eastAsia" w:ascii="仿宋_GB2312" w:hAnsi="仿宋_GB2312" w:eastAsia="仿宋_GB2312" w:cs="仿宋_GB2312"/>
          <w:color w:val="auto"/>
          <w:kern w:val="0"/>
          <w:sz w:val="32"/>
          <w:szCs w:val="32"/>
          <w:lang w:eastAsia="zh-CN"/>
        </w:rPr>
        <w:t>四</w:t>
      </w:r>
      <w:r>
        <w:rPr>
          <w:rFonts w:hint="eastAsia" w:ascii="仿宋_GB2312" w:hAnsi="仿宋_GB2312" w:eastAsia="仿宋_GB2312" w:cs="仿宋_GB2312"/>
          <w:color w:val="auto"/>
          <w:kern w:val="0"/>
          <w:sz w:val="32"/>
          <w:szCs w:val="32"/>
        </w:rPr>
        <w:t>）近三年代表性业绩；</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w:t>
      </w:r>
      <w:r>
        <w:rPr>
          <w:rFonts w:hint="eastAsia" w:ascii="仿宋_GB2312" w:hAnsi="仿宋_GB2312" w:eastAsia="仿宋_GB2312" w:cs="仿宋_GB2312"/>
          <w:color w:val="auto"/>
          <w:kern w:val="0"/>
          <w:sz w:val="32"/>
          <w:szCs w:val="32"/>
          <w:lang w:eastAsia="zh-CN"/>
        </w:rPr>
        <w:t>五</w:t>
      </w:r>
      <w:r>
        <w:rPr>
          <w:rFonts w:hint="eastAsia" w:ascii="仿宋_GB2312" w:hAnsi="仿宋_GB2312" w:eastAsia="仿宋_GB2312" w:cs="仿宋_GB2312"/>
          <w:color w:val="auto"/>
          <w:kern w:val="0"/>
          <w:sz w:val="32"/>
          <w:szCs w:val="32"/>
        </w:rPr>
        <w:t>）其他登记信息。</w:t>
      </w:r>
    </w:p>
    <w:p>
      <w:pPr>
        <w:keepNext w:val="0"/>
        <w:keepLines w:val="0"/>
        <w:pageBreakBefore w:val="0"/>
        <w:widowControl w:val="0"/>
        <w:tabs>
          <w:tab w:val="left" w:pos="709"/>
        </w:tabs>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第六条</w:t>
      </w:r>
      <w:r>
        <w:rPr>
          <w:rFonts w:hint="eastAsia" w:ascii="仿宋_GB2312" w:hAnsi="仿宋_GB2312" w:eastAsia="仿宋_GB2312" w:cs="仿宋_GB2312"/>
          <w:b w:val="0"/>
          <w:bCs/>
          <w:color w:val="auto"/>
          <w:kern w:val="0"/>
          <w:sz w:val="32"/>
          <w:szCs w:val="32"/>
        </w:rPr>
        <w:t xml:space="preserve"> </w:t>
      </w:r>
      <w:r>
        <w:rPr>
          <w:rFonts w:hint="eastAsia" w:ascii="仿宋_GB2312" w:hAnsi="仿宋_GB2312" w:eastAsia="仿宋_GB2312" w:cs="仿宋_GB2312"/>
          <w:color w:val="auto"/>
          <w:kern w:val="0"/>
          <w:sz w:val="32"/>
          <w:szCs w:val="32"/>
        </w:rPr>
        <w:t>登记信息发生变更的，代理机构应当在信息变更之日起10个工作日内报市</w:t>
      </w:r>
      <w:r>
        <w:rPr>
          <w:rFonts w:hint="eastAsia" w:ascii="仿宋_GB2312" w:hAnsi="仿宋_GB2312" w:eastAsia="仿宋_GB2312" w:cs="仿宋_GB2312"/>
          <w:color w:val="auto"/>
          <w:kern w:val="0"/>
          <w:sz w:val="32"/>
          <w:szCs w:val="32"/>
          <w:lang w:eastAsia="zh-CN"/>
        </w:rPr>
        <w:t>政务</w:t>
      </w:r>
      <w:r>
        <w:rPr>
          <w:rFonts w:hint="eastAsia" w:ascii="仿宋_GB2312" w:hAnsi="仿宋_GB2312" w:eastAsia="仿宋_GB2312" w:cs="仿宋_GB2312"/>
          <w:color w:val="auto"/>
          <w:sz w:val="32"/>
          <w:szCs w:val="32"/>
          <w:lang w:eastAsia="zh-CN"/>
        </w:rPr>
        <w:t>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kern w:val="0"/>
          <w:sz w:val="32"/>
          <w:szCs w:val="32"/>
        </w:rPr>
        <w:t>局更新。</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第七条</w:t>
      </w:r>
      <w:r>
        <w:rPr>
          <w:rFonts w:hint="eastAsia" w:ascii="仿宋_GB2312" w:hAnsi="仿宋_GB2312" w:eastAsia="仿宋_GB2312" w:cs="仿宋_GB2312"/>
          <w:color w:val="auto"/>
          <w:kern w:val="0"/>
          <w:sz w:val="32"/>
          <w:szCs w:val="32"/>
        </w:rPr>
        <w:t xml:space="preserve"> 代理机构因各种原因无法在本市继续执业时，应当在向相关</w:t>
      </w:r>
      <w:r>
        <w:rPr>
          <w:rFonts w:hint="eastAsia" w:ascii="仿宋_GB2312" w:hAnsi="仿宋_GB2312" w:eastAsia="仿宋_GB2312" w:cs="仿宋_GB2312"/>
          <w:color w:val="auto"/>
          <w:kern w:val="0"/>
          <w:sz w:val="32"/>
          <w:szCs w:val="32"/>
          <w:lang w:eastAsia="zh-CN"/>
        </w:rPr>
        <w:t>委托</w:t>
      </w:r>
      <w:r>
        <w:rPr>
          <w:rFonts w:hint="eastAsia" w:ascii="仿宋_GB2312" w:hAnsi="仿宋_GB2312" w:eastAsia="仿宋_GB2312" w:cs="仿宋_GB2312"/>
          <w:color w:val="auto"/>
          <w:kern w:val="0"/>
          <w:sz w:val="32"/>
          <w:szCs w:val="32"/>
        </w:rPr>
        <w:t>人移交档案后，及时到市</w:t>
      </w:r>
      <w:r>
        <w:rPr>
          <w:rFonts w:hint="eastAsia" w:ascii="仿宋_GB2312" w:hAnsi="仿宋_GB2312" w:eastAsia="仿宋_GB2312" w:cs="仿宋_GB2312"/>
          <w:color w:val="auto"/>
          <w:kern w:val="0"/>
          <w:sz w:val="32"/>
          <w:szCs w:val="32"/>
          <w:lang w:eastAsia="zh-CN"/>
        </w:rPr>
        <w:t>政务</w:t>
      </w:r>
      <w:r>
        <w:rPr>
          <w:rFonts w:hint="eastAsia" w:ascii="仿宋_GB2312" w:hAnsi="仿宋_GB2312" w:eastAsia="仿宋_GB2312" w:cs="仿宋_GB2312"/>
          <w:color w:val="auto"/>
          <w:sz w:val="32"/>
          <w:szCs w:val="32"/>
          <w:lang w:eastAsia="zh-CN"/>
        </w:rPr>
        <w:t>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kern w:val="0"/>
          <w:sz w:val="32"/>
          <w:szCs w:val="32"/>
        </w:rPr>
        <w:t>局办理名录退出登记。</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第八条</w:t>
      </w:r>
      <w:r>
        <w:rPr>
          <w:rFonts w:hint="eastAsia" w:ascii="仿宋_GB2312" w:hAnsi="仿宋_GB2312" w:eastAsia="仿宋_GB2312" w:cs="仿宋_GB2312"/>
          <w:color w:val="auto"/>
          <w:kern w:val="0"/>
          <w:sz w:val="32"/>
          <w:szCs w:val="32"/>
        </w:rPr>
        <w:t xml:space="preserve"> </w:t>
      </w:r>
      <w:r>
        <w:rPr>
          <w:rFonts w:hint="eastAsia" w:ascii="仿宋_GB2312" w:hAnsi="仿宋_GB2312" w:eastAsia="仿宋_GB2312" w:cs="仿宋_GB2312"/>
          <w:color w:val="auto"/>
          <w:kern w:val="0"/>
          <w:sz w:val="32"/>
          <w:szCs w:val="32"/>
          <w:lang w:eastAsia="zh-CN"/>
        </w:rPr>
        <w:t>委托</w:t>
      </w:r>
      <w:r>
        <w:rPr>
          <w:rFonts w:hint="eastAsia" w:ascii="仿宋_GB2312" w:hAnsi="仿宋_GB2312" w:eastAsia="仿宋_GB2312" w:cs="仿宋_GB2312"/>
          <w:color w:val="auto"/>
          <w:kern w:val="0"/>
          <w:sz w:val="32"/>
          <w:szCs w:val="32"/>
        </w:rPr>
        <w:t>人应依据招标代理机构以及从事该招标代理业务人员的业绩、</w:t>
      </w:r>
      <w:r>
        <w:rPr>
          <w:rFonts w:hint="eastAsia" w:ascii="仿宋_GB2312" w:hAnsi="仿宋_GB2312" w:eastAsia="仿宋_GB2312" w:cs="仿宋_GB2312"/>
          <w:color w:val="auto"/>
          <w:kern w:val="0"/>
          <w:sz w:val="32"/>
          <w:szCs w:val="32"/>
          <w:lang w:eastAsia="zh-CN"/>
        </w:rPr>
        <w:t>服务质量、执业行为</w:t>
      </w:r>
      <w:r>
        <w:rPr>
          <w:rFonts w:hint="eastAsia" w:ascii="仿宋_GB2312" w:hAnsi="仿宋_GB2312" w:eastAsia="仿宋_GB2312" w:cs="仿宋_GB2312"/>
          <w:color w:val="auto"/>
          <w:kern w:val="0"/>
          <w:sz w:val="32"/>
          <w:szCs w:val="32"/>
        </w:rPr>
        <w:t>考评结果</w:t>
      </w:r>
      <w:r>
        <w:rPr>
          <w:rFonts w:hint="eastAsia" w:ascii="仿宋_GB2312" w:hAnsi="仿宋_GB2312" w:eastAsia="仿宋_GB2312" w:cs="仿宋_GB2312"/>
          <w:color w:val="auto"/>
          <w:kern w:val="0"/>
          <w:sz w:val="32"/>
          <w:szCs w:val="32"/>
          <w:lang w:eastAsia="zh-CN"/>
        </w:rPr>
        <w:t>和收费</w:t>
      </w:r>
      <w:r>
        <w:rPr>
          <w:rFonts w:hint="eastAsia" w:ascii="仿宋_GB2312" w:hAnsi="仿宋_GB2312" w:eastAsia="仿宋_GB2312" w:cs="仿宋_GB2312"/>
          <w:color w:val="auto"/>
          <w:kern w:val="0"/>
          <w:sz w:val="32"/>
          <w:szCs w:val="32"/>
        </w:rPr>
        <w:t>等情况，从名录中依法择优选择代理机构。</w:t>
      </w:r>
    </w:p>
    <w:p>
      <w:pPr>
        <w:keepNext w:val="0"/>
        <w:keepLines w:val="0"/>
        <w:pageBreakBefore w:val="0"/>
        <w:kinsoku/>
        <w:wordWrap/>
        <w:overflowPunct/>
        <w:topLinePunct w:val="0"/>
        <w:autoSpaceDE/>
        <w:autoSpaceDN/>
        <w:bidi w:val="0"/>
        <w:adjustRightInd/>
        <w:snapToGrid/>
        <w:spacing w:line="590" w:lineRule="exact"/>
        <w:ind w:firstLine="640" w:firstLineChars="200"/>
        <w:jc w:val="center"/>
        <w:textAlignment w:val="auto"/>
        <w:rPr>
          <w:rFonts w:hint="eastAsia" w:ascii="仿宋_GB2312" w:hAnsi="仿宋_GB2312" w:eastAsia="仿宋_GB2312" w:cs="仿宋_GB2312"/>
          <w:color w:val="auto"/>
          <w:kern w:val="0"/>
          <w:sz w:val="32"/>
          <w:szCs w:val="32"/>
        </w:rPr>
      </w:pPr>
    </w:p>
    <w:p>
      <w:pPr>
        <w:keepNext w:val="0"/>
        <w:keepLines w:val="0"/>
        <w:pageBreakBefore w:val="0"/>
        <w:widowControl/>
        <w:kinsoku/>
        <w:wordWrap/>
        <w:overflowPunct/>
        <w:topLinePunct w:val="0"/>
        <w:autoSpaceDE/>
        <w:autoSpaceDN/>
        <w:bidi w:val="0"/>
        <w:adjustRightInd/>
        <w:snapToGrid/>
        <w:spacing w:before="0" w:beforeAutospacing="0" w:after="64" w:afterLines="20" w:afterAutospacing="0" w:line="590" w:lineRule="exact"/>
        <w:ind w:left="0" w:leftChars="0" w:firstLine="0" w:firstLineChars="0"/>
        <w:jc w:val="center"/>
        <w:textAlignment w:val="auto"/>
        <w:rPr>
          <w:rFonts w:hint="eastAsia" w:ascii="方正黑体_GBK" w:hAnsi="方正黑体_GBK" w:eastAsia="方正黑体_GBK" w:cs="方正黑体_GBK"/>
          <w:color w:val="auto"/>
          <w:kern w:val="0"/>
          <w:sz w:val="32"/>
          <w:szCs w:val="32"/>
          <w:lang w:val="en-US" w:eastAsia="zh-CN" w:bidi="ar-SA"/>
        </w:rPr>
      </w:pPr>
      <w:r>
        <w:rPr>
          <w:rFonts w:hint="eastAsia" w:ascii="方正黑体_GBK" w:hAnsi="方正黑体_GBK" w:eastAsia="方正黑体_GBK" w:cs="方正黑体_GBK"/>
          <w:color w:val="auto"/>
          <w:kern w:val="0"/>
          <w:sz w:val="32"/>
          <w:szCs w:val="32"/>
          <w:lang w:val="en-US" w:eastAsia="zh-CN" w:bidi="ar-SA"/>
        </w:rPr>
        <w:t>第三章 从业管理</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第九条</w:t>
      </w:r>
      <w:r>
        <w:rPr>
          <w:rFonts w:hint="eastAsia" w:ascii="仿宋_GB2312" w:hAnsi="仿宋_GB2312" w:eastAsia="仿宋_GB2312" w:cs="仿宋_GB2312"/>
          <w:b/>
          <w:color w:val="auto"/>
          <w:sz w:val="32"/>
          <w:szCs w:val="32"/>
        </w:rPr>
        <w:t xml:space="preserve"> </w:t>
      </w:r>
      <w:r>
        <w:rPr>
          <w:rFonts w:hint="eastAsia" w:ascii="仿宋_GB2312" w:hAnsi="仿宋_GB2312" w:eastAsia="仿宋_GB2312" w:cs="仿宋_GB2312"/>
          <w:color w:val="auto"/>
          <w:kern w:val="0"/>
          <w:sz w:val="32"/>
          <w:szCs w:val="32"/>
        </w:rPr>
        <w:t>代理机构代理业务应当具备以下条件：</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（一）有从事招标代理业务的营业场所和相应资金；</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（二）有能够编制招标文件和组织评标的相应专业力量。</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第十条</w:t>
      </w:r>
      <w:r>
        <w:rPr>
          <w:rFonts w:hint="eastAsia" w:ascii="仿宋_GB2312" w:hAnsi="仿宋_GB2312" w:eastAsia="仿宋_GB2312" w:cs="仿宋_GB2312"/>
          <w:color w:val="auto"/>
          <w:kern w:val="0"/>
          <w:sz w:val="32"/>
          <w:szCs w:val="32"/>
        </w:rPr>
        <w:t xml:space="preserve"> 代理机构的从业人员应当具备以下条件：</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（一）为具备与招标项目规模和复杂程度相适应的技术经济方面的专业人员；</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（二）熟悉和掌握招标投标法及有关法规规章和市公共资源交易平台操作规范；</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kern w:val="0"/>
          <w:sz w:val="32"/>
          <w:szCs w:val="32"/>
        </w:rPr>
      </w:pPr>
      <w:r>
        <w:rPr>
          <w:rFonts w:hint="eastAsia" w:ascii="仿宋_GB2312" w:hAnsi="仿宋_GB2312" w:eastAsia="仿宋_GB2312" w:cs="仿宋_GB2312"/>
          <w:color w:val="auto"/>
          <w:kern w:val="0"/>
          <w:sz w:val="32"/>
          <w:szCs w:val="32"/>
        </w:rPr>
        <w:t>（三）法律、法规规定的其他条件。</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第十一条</w:t>
      </w:r>
      <w:r>
        <w:rPr>
          <w:rFonts w:hint="eastAsia" w:ascii="仿宋_GB2312" w:hAnsi="仿宋_GB2312" w:eastAsia="仿宋_GB2312" w:cs="仿宋_GB2312"/>
          <w:color w:val="auto"/>
          <w:kern w:val="0"/>
          <w:sz w:val="32"/>
          <w:szCs w:val="32"/>
        </w:rPr>
        <w:t xml:space="preserve"> 代理机构应当严格遵守国家法律法规和政府有关规定，依法遵循公开、公平、公正和诚实信用的原则，不得损害国家利益、社会公共利益和他人合法权益。</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第十二条</w:t>
      </w:r>
      <w:r>
        <w:rPr>
          <w:rFonts w:hint="eastAsia" w:ascii="仿宋_GB2312" w:hAnsi="仿宋_GB2312" w:eastAsia="仿宋_GB2312" w:cs="仿宋_GB2312"/>
          <w:color w:val="auto"/>
          <w:kern w:val="0"/>
          <w:sz w:val="32"/>
          <w:szCs w:val="32"/>
        </w:rPr>
        <w:t xml:space="preserve"> </w:t>
      </w:r>
      <w:r>
        <w:rPr>
          <w:rFonts w:hint="eastAsia" w:ascii="仿宋_GB2312" w:hAnsi="仿宋_GB2312" w:eastAsia="仿宋_GB2312" w:cs="仿宋_GB2312"/>
          <w:color w:val="auto"/>
          <w:sz w:val="32"/>
          <w:szCs w:val="32"/>
        </w:rPr>
        <w:t>代理机构不得采用联合代理的方式承接招标代理业务，不得允许其他单位和个人以本单位名义承揽招标代理业务。</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kern w:val="0"/>
          <w:sz w:val="32"/>
          <w:szCs w:val="32"/>
        </w:rPr>
      </w:pPr>
      <w:r>
        <w:rPr>
          <w:rFonts w:hint="eastAsia" w:ascii="方正楷体_GBK" w:hAnsi="方正楷体_GBK" w:eastAsia="方正楷体_GBK" w:cs="方正楷体_GBK"/>
          <w:b w:val="0"/>
          <w:bCs/>
          <w:color w:val="auto"/>
          <w:sz w:val="32"/>
          <w:szCs w:val="32"/>
        </w:rPr>
        <w:t>第十三条</w:t>
      </w:r>
      <w:r>
        <w:rPr>
          <w:rFonts w:hint="eastAsia" w:ascii="仿宋_GB2312" w:hAnsi="仿宋_GB2312" w:eastAsia="仿宋_GB2312" w:cs="仿宋_GB2312"/>
          <w:color w:val="auto"/>
          <w:kern w:val="0"/>
          <w:sz w:val="32"/>
          <w:szCs w:val="32"/>
        </w:rPr>
        <w:t xml:space="preserve"> </w:t>
      </w:r>
      <w:r>
        <w:rPr>
          <w:rFonts w:hint="eastAsia" w:ascii="仿宋_GB2312" w:hAnsi="仿宋_GB2312" w:eastAsia="仿宋_GB2312" w:cs="仿宋_GB2312"/>
          <w:color w:val="auto"/>
          <w:sz w:val="32"/>
          <w:szCs w:val="32"/>
        </w:rPr>
        <w:t>代理机构的从业人员应当遵守职业道德，客观、公正执业，不得同时在两个或多个代理机构服务。</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第十四条</w:t>
      </w:r>
      <w:r>
        <w:rPr>
          <w:rFonts w:hint="eastAsia" w:ascii="仿宋_GB2312" w:hAnsi="仿宋_GB2312" w:eastAsia="仿宋_GB2312" w:cs="仿宋_GB2312"/>
          <w:b w:val="0"/>
          <w:bCs/>
          <w:color w:val="auto"/>
          <w:kern w:val="0"/>
          <w:sz w:val="32"/>
          <w:szCs w:val="32"/>
        </w:rPr>
        <w:t xml:space="preserve"> </w:t>
      </w:r>
      <w:r>
        <w:rPr>
          <w:rFonts w:hint="eastAsia" w:ascii="仿宋_GB2312" w:hAnsi="仿宋_GB2312" w:eastAsia="仿宋_GB2312" w:cs="仿宋_GB2312"/>
          <w:color w:val="auto"/>
          <w:sz w:val="32"/>
          <w:szCs w:val="32"/>
        </w:rPr>
        <w:t>代理机构受委托办理招标事宜，应当与</w:t>
      </w:r>
      <w:r>
        <w:rPr>
          <w:rFonts w:hint="eastAsia" w:ascii="仿宋_GB2312" w:hAnsi="仿宋_GB2312" w:eastAsia="仿宋_GB2312" w:cs="仿宋_GB2312"/>
          <w:color w:val="auto"/>
          <w:sz w:val="32"/>
          <w:szCs w:val="32"/>
          <w:lang w:eastAsia="zh-CN"/>
        </w:rPr>
        <w:t>委托人</w:t>
      </w:r>
      <w:r>
        <w:rPr>
          <w:rFonts w:hint="eastAsia" w:ascii="仿宋_GB2312" w:hAnsi="仿宋_GB2312" w:eastAsia="仿宋_GB2312" w:cs="仿宋_GB2312"/>
          <w:color w:val="auto"/>
          <w:sz w:val="32"/>
          <w:szCs w:val="32"/>
        </w:rPr>
        <w:t>签订书面委托代理合同，明确招标代理范围、权限、期限、项目负责人、档案保存、代理费用收取方式及标准、合同解除及终止、违约责任等具体事项，约定双方权利义务。</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jc w:val="left"/>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第十五条</w:t>
      </w:r>
      <w:r>
        <w:rPr>
          <w:rFonts w:hint="eastAsia" w:ascii="仿宋_GB2312" w:hAnsi="仿宋_GB2312" w:eastAsia="仿宋_GB2312" w:cs="仿宋_GB2312"/>
          <w:color w:val="auto"/>
          <w:sz w:val="32"/>
          <w:szCs w:val="32"/>
        </w:rPr>
        <w:t xml:space="preserve"> 代理机构受人委托，承担下列工作：</w:t>
      </w:r>
    </w:p>
    <w:p>
      <w:pPr>
        <w:keepNext w:val="0"/>
        <w:keepLines w:val="0"/>
        <w:pageBreakBefore w:val="0"/>
        <w:widowControl w:val="0"/>
        <w:kinsoku/>
        <w:wordWrap/>
        <w:overflowPunct/>
        <w:topLinePunct w:val="0"/>
        <w:autoSpaceDE/>
        <w:autoSpaceDN/>
        <w:bidi w:val="0"/>
        <w:adjustRightInd/>
        <w:snapToGrid/>
        <w:spacing w:line="590" w:lineRule="exact"/>
        <w:ind w:left="420" w:leftChars="200" w:firstLine="0" w:firstLineChars="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（一）向行业行政主管部门提请招标备案申请；</w:t>
      </w:r>
    </w:p>
    <w:p>
      <w:pPr>
        <w:keepNext w:val="0"/>
        <w:keepLines w:val="0"/>
        <w:pageBreakBefore w:val="0"/>
        <w:widowControl w:val="0"/>
        <w:kinsoku/>
        <w:wordWrap/>
        <w:overflowPunct/>
        <w:topLinePunct w:val="0"/>
        <w:autoSpaceDE/>
        <w:autoSpaceDN/>
        <w:bidi w:val="0"/>
        <w:adjustRightInd/>
        <w:snapToGrid/>
        <w:spacing w:line="590" w:lineRule="exact"/>
        <w:ind w:left="420" w:leftChars="200" w:firstLine="0" w:firstLineChars="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（二）拟定招标方案；</w:t>
      </w:r>
    </w:p>
    <w:p>
      <w:pPr>
        <w:keepNext w:val="0"/>
        <w:keepLines w:val="0"/>
        <w:pageBreakBefore w:val="0"/>
        <w:widowControl w:val="0"/>
        <w:kinsoku/>
        <w:wordWrap/>
        <w:overflowPunct/>
        <w:topLinePunct w:val="0"/>
        <w:autoSpaceDE/>
        <w:autoSpaceDN/>
        <w:bidi w:val="0"/>
        <w:adjustRightInd/>
        <w:snapToGrid/>
        <w:spacing w:line="590" w:lineRule="exact"/>
        <w:ind w:left="420" w:leftChars="200" w:firstLine="0" w:firstLineChars="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（三）拟定招标公告、招标文件，并按规定程序发布；</w:t>
      </w:r>
    </w:p>
    <w:p>
      <w:pPr>
        <w:keepNext w:val="0"/>
        <w:keepLines w:val="0"/>
        <w:pageBreakBefore w:val="0"/>
        <w:widowControl w:val="0"/>
        <w:kinsoku/>
        <w:wordWrap/>
        <w:overflowPunct/>
        <w:topLinePunct w:val="0"/>
        <w:autoSpaceDE/>
        <w:autoSpaceDN/>
        <w:bidi w:val="0"/>
        <w:adjustRightInd/>
        <w:snapToGrid/>
        <w:spacing w:line="590" w:lineRule="exact"/>
        <w:ind w:left="420" w:leftChars="200" w:firstLine="0" w:firstLineChars="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（四）组织开标、评标、做好记录；</w:t>
      </w:r>
    </w:p>
    <w:p>
      <w:pPr>
        <w:keepNext w:val="0"/>
        <w:keepLines w:val="0"/>
        <w:pageBreakBefore w:val="0"/>
        <w:widowControl w:val="0"/>
        <w:kinsoku/>
        <w:wordWrap/>
        <w:overflowPunct/>
        <w:topLinePunct w:val="0"/>
        <w:autoSpaceDE/>
        <w:autoSpaceDN/>
        <w:bidi w:val="0"/>
        <w:adjustRightInd/>
        <w:snapToGrid/>
        <w:spacing w:line="590" w:lineRule="exact"/>
        <w:ind w:left="420" w:leftChars="200" w:firstLine="0" w:firstLineChars="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（五）协助招标人签订项目合同；</w:t>
      </w:r>
    </w:p>
    <w:p>
      <w:pPr>
        <w:keepNext w:val="0"/>
        <w:keepLines w:val="0"/>
        <w:pageBreakBefore w:val="0"/>
        <w:widowControl w:val="0"/>
        <w:kinsoku/>
        <w:wordWrap/>
        <w:overflowPunct/>
        <w:topLinePunct w:val="0"/>
        <w:autoSpaceDE/>
        <w:autoSpaceDN/>
        <w:bidi w:val="0"/>
        <w:adjustRightInd/>
        <w:snapToGrid/>
        <w:spacing w:line="590" w:lineRule="exact"/>
        <w:ind w:left="420" w:leftChars="200" w:firstLine="0" w:firstLineChars="0"/>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（六）编制和提交招标投标情况的书面报告；</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jc w:val="left"/>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（七）自觉遵守市公共资源交易中心交易流程，</w:t>
      </w:r>
      <w:r>
        <w:rPr>
          <w:rFonts w:hint="eastAsia" w:ascii="仿宋_GB2312" w:hAnsi="仿宋_GB2312" w:eastAsia="仿宋_GB2312" w:cs="仿宋_GB2312"/>
          <w:color w:val="auto"/>
          <w:sz w:val="32"/>
          <w:szCs w:val="32"/>
          <w:lang w:val="en-US" w:eastAsia="zh-CN"/>
        </w:rPr>
        <w:t>按</w:t>
      </w:r>
      <w:r>
        <w:rPr>
          <w:rFonts w:hint="eastAsia" w:ascii="仿宋_GB2312" w:hAnsi="仿宋_GB2312" w:eastAsia="仿宋_GB2312" w:cs="仿宋_GB2312"/>
          <w:color w:val="auto"/>
          <w:sz w:val="32"/>
          <w:szCs w:val="32"/>
        </w:rPr>
        <w:t>要求参加相关会议及培训，服从市、县（区）</w:t>
      </w:r>
      <w:r>
        <w:rPr>
          <w:rFonts w:hint="eastAsia" w:ascii="仿宋_GB2312" w:hAnsi="仿宋_GB2312" w:eastAsia="仿宋_GB2312" w:cs="仿宋_GB2312"/>
          <w:color w:val="auto"/>
          <w:sz w:val="32"/>
          <w:szCs w:val="32"/>
          <w:lang w:eastAsia="zh-CN"/>
        </w:rPr>
        <w:t>综合管理部门和行业主管部门</w:t>
      </w:r>
      <w:r>
        <w:rPr>
          <w:rFonts w:hint="eastAsia" w:ascii="仿宋_GB2312" w:hAnsi="仿宋_GB2312" w:eastAsia="仿宋_GB2312" w:cs="仿宋_GB2312"/>
          <w:color w:val="auto"/>
          <w:sz w:val="32"/>
          <w:szCs w:val="32"/>
        </w:rPr>
        <w:t>监督管理；</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（八）按照省公管办公共资源交易数据推送要求，项目</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交易所有环节按照规定流程完整操作，每个交易流程涉及数据填写准确，保证数据推送质量和时效；</w:t>
      </w:r>
    </w:p>
    <w:p>
      <w:pPr>
        <w:keepNext w:val="0"/>
        <w:keepLines w:val="0"/>
        <w:pageBreakBefore w:val="0"/>
        <w:widowControl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（九）委托代理合同约定的其他工作。</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第十六条</w:t>
      </w:r>
      <w:r>
        <w:rPr>
          <w:rFonts w:hint="eastAsia" w:ascii="仿宋_GB2312" w:hAnsi="仿宋_GB2312" w:eastAsia="仿宋_GB2312" w:cs="仿宋_GB2312"/>
          <w:color w:val="auto"/>
          <w:sz w:val="32"/>
          <w:szCs w:val="32"/>
        </w:rPr>
        <w:t xml:space="preserve"> 代理机构应当严格按照委托代理合同的约定依法依规开展招标代理业务，相关开标及评审活动应当全程录音录像，录音录像应当清晰可辨，音像资料作为招标资料一并存档。</w:t>
      </w:r>
    </w:p>
    <w:p>
      <w:pPr>
        <w:keepNext w:val="0"/>
        <w:keepLines w:val="0"/>
        <w:pageBreakBefore w:val="0"/>
        <w:widowControl/>
        <w:kinsoku/>
        <w:wordWrap/>
        <w:overflowPunct/>
        <w:topLinePunct w:val="0"/>
        <w:autoSpaceDE/>
        <w:autoSpaceDN/>
        <w:bidi w:val="0"/>
        <w:adjustRightInd/>
        <w:snapToGrid/>
        <w:spacing w:before="0" w:beforeAutospacing="0" w:after="0" w:afterAutospacing="0" w:line="590" w:lineRule="exact"/>
        <w:ind w:firstLine="640" w:firstLineChars="200"/>
        <w:jc w:val="both"/>
        <w:textAlignment w:val="auto"/>
        <w:rPr>
          <w:rFonts w:hint="eastAsia" w:ascii="仿宋_GB2312" w:hAnsi="仿宋_GB2312" w:eastAsia="仿宋_GB2312" w:cs="仿宋_GB2312"/>
          <w:color w:val="auto"/>
          <w:kern w:val="0"/>
          <w:sz w:val="32"/>
          <w:szCs w:val="32"/>
          <w:lang w:val="en-US" w:eastAsia="zh-CN" w:bidi="ar-SA"/>
        </w:rPr>
      </w:pPr>
      <w:r>
        <w:rPr>
          <w:rFonts w:hint="eastAsia" w:ascii="仿宋_GB2312" w:hAnsi="仿宋_GB2312" w:eastAsia="仿宋_GB2312" w:cs="仿宋_GB2312"/>
          <w:color w:val="auto"/>
          <w:kern w:val="0"/>
          <w:sz w:val="32"/>
          <w:szCs w:val="32"/>
          <w:lang w:val="en-US" w:eastAsia="zh-CN" w:bidi="ar-SA"/>
        </w:rPr>
        <w:t>招标公告、资格预审文件、招标文件、招标书面情况报告等主要环节的备案和开标、评标应由代理机构项目组负责人或项目组成员办理或组织，并由项目负责人及编制人员签名。</w:t>
      </w:r>
    </w:p>
    <w:p>
      <w:pPr>
        <w:keepNext w:val="0"/>
        <w:keepLines w:val="0"/>
        <w:pageBreakBefore w:val="0"/>
        <w:widowControl/>
        <w:kinsoku/>
        <w:wordWrap/>
        <w:overflowPunct/>
        <w:topLinePunct w:val="0"/>
        <w:autoSpaceDE/>
        <w:autoSpaceDN/>
        <w:bidi w:val="0"/>
        <w:adjustRightInd/>
        <w:snapToGrid/>
        <w:spacing w:before="0" w:beforeAutospacing="0" w:after="0" w:afterAutospacing="0" w:line="590" w:lineRule="exact"/>
        <w:ind w:firstLine="640" w:firstLineChars="200"/>
        <w:jc w:val="center"/>
        <w:textAlignment w:val="auto"/>
        <w:rPr>
          <w:rFonts w:hint="eastAsia" w:ascii="仿宋_GB2312" w:hAnsi="仿宋_GB2312" w:eastAsia="仿宋_GB2312" w:cs="仿宋_GB2312"/>
          <w:color w:val="auto"/>
          <w:kern w:val="0"/>
          <w:sz w:val="32"/>
          <w:szCs w:val="32"/>
          <w:lang w:val="en-US" w:eastAsia="zh-CN" w:bidi="ar-SA"/>
        </w:rPr>
      </w:pPr>
    </w:p>
    <w:p>
      <w:pPr>
        <w:keepNext w:val="0"/>
        <w:keepLines w:val="0"/>
        <w:pageBreakBefore w:val="0"/>
        <w:widowControl/>
        <w:kinsoku/>
        <w:wordWrap/>
        <w:overflowPunct/>
        <w:topLinePunct w:val="0"/>
        <w:autoSpaceDE/>
        <w:autoSpaceDN/>
        <w:bidi w:val="0"/>
        <w:adjustRightInd/>
        <w:snapToGrid/>
        <w:spacing w:before="0" w:beforeAutospacing="0" w:after="64" w:afterLines="20" w:afterAutospacing="0" w:line="590" w:lineRule="exact"/>
        <w:ind w:left="0" w:leftChars="0" w:firstLine="0" w:firstLineChars="0"/>
        <w:jc w:val="center"/>
        <w:textAlignment w:val="auto"/>
        <w:rPr>
          <w:rFonts w:hint="eastAsia" w:ascii="仿宋_GB2312" w:hAnsi="仿宋_GB2312" w:eastAsia="仿宋_GB2312" w:cs="仿宋_GB2312"/>
          <w:color w:val="auto"/>
          <w:kern w:val="0"/>
          <w:sz w:val="32"/>
          <w:szCs w:val="32"/>
          <w:lang w:val="en-US" w:eastAsia="zh-CN" w:bidi="ar-SA"/>
        </w:rPr>
      </w:pPr>
      <w:r>
        <w:rPr>
          <w:rFonts w:hint="eastAsia" w:ascii="方正黑体_GBK" w:hAnsi="方正黑体_GBK" w:eastAsia="方正黑体_GBK" w:cs="方正黑体_GBK"/>
          <w:color w:val="auto"/>
          <w:kern w:val="0"/>
          <w:sz w:val="32"/>
          <w:szCs w:val="32"/>
          <w:lang w:val="en-US" w:eastAsia="zh-CN" w:bidi="ar-SA"/>
        </w:rPr>
        <w:t>第四章 考评及监督检查</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第十七条</w:t>
      </w:r>
      <w:r>
        <w:rPr>
          <w:rFonts w:hint="eastAsia" w:ascii="仿宋_GB2312" w:hAnsi="仿宋_GB2312" w:eastAsia="仿宋_GB2312" w:cs="仿宋_GB2312"/>
          <w:b/>
          <w:color w:val="auto"/>
          <w:sz w:val="32"/>
          <w:szCs w:val="32"/>
        </w:rPr>
        <w:t xml:space="preserve"> </w:t>
      </w:r>
      <w:r>
        <w:rPr>
          <w:rFonts w:hint="eastAsia" w:ascii="仿宋_GB2312" w:hAnsi="仿宋_GB2312" w:eastAsia="仿宋_GB2312" w:cs="仿宋_GB2312"/>
          <w:color w:val="auto"/>
          <w:sz w:val="32"/>
          <w:szCs w:val="32"/>
        </w:rPr>
        <w:t>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sz w:val="32"/>
          <w:szCs w:val="32"/>
        </w:rPr>
        <w:t>局建立代理机构考评标准，实行代理机构</w:t>
      </w:r>
      <w:r>
        <w:rPr>
          <w:rFonts w:hint="eastAsia" w:ascii="仿宋_GB2312" w:hAnsi="仿宋_GB2312" w:eastAsia="仿宋_GB2312" w:cs="仿宋_GB2312"/>
          <w:color w:val="auto"/>
          <w:sz w:val="32"/>
          <w:szCs w:val="32"/>
          <w:lang w:eastAsia="zh-CN"/>
        </w:rPr>
        <w:t>及从业人员</w:t>
      </w:r>
      <w:r>
        <w:rPr>
          <w:rFonts w:hint="eastAsia" w:ascii="仿宋_GB2312" w:hAnsi="仿宋_GB2312" w:eastAsia="仿宋_GB2312" w:cs="仿宋_GB2312"/>
          <w:color w:val="auto"/>
          <w:sz w:val="32"/>
          <w:szCs w:val="32"/>
        </w:rPr>
        <w:t>周期考评计分制。考评计分结果作为代理机构从业行为动态管理的重要依据。</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第十八条</w:t>
      </w:r>
      <w:r>
        <w:rPr>
          <w:rFonts w:hint="eastAsia" w:ascii="楷体" w:hAnsi="楷体" w:eastAsia="楷体" w:cs="楷体"/>
          <w:b w:val="0"/>
          <w:bCs/>
          <w:color w:val="auto"/>
          <w:sz w:val="32"/>
          <w:szCs w:val="32"/>
        </w:rPr>
        <w:t xml:space="preserve"> </w:t>
      </w:r>
      <w:r>
        <w:rPr>
          <w:rFonts w:hint="eastAsia" w:ascii="仿宋_GB2312" w:hAnsi="仿宋_GB2312" w:eastAsia="仿宋_GB2312" w:cs="仿宋_GB2312"/>
          <w:color w:val="auto"/>
          <w:sz w:val="32"/>
          <w:szCs w:val="32"/>
        </w:rPr>
        <w:t>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sz w:val="32"/>
          <w:szCs w:val="32"/>
        </w:rPr>
        <w:t>局建立定向检查和不定向抽查相结合的随机监督检查机制。对存在违法违规线索的</w:t>
      </w:r>
      <w:r>
        <w:rPr>
          <w:rFonts w:hint="eastAsia" w:ascii="仿宋_GB2312" w:hAnsi="仿宋_GB2312" w:eastAsia="仿宋_GB2312" w:cs="仿宋_GB2312"/>
          <w:color w:val="auto"/>
          <w:sz w:val="32"/>
          <w:szCs w:val="32"/>
          <w:lang w:eastAsia="zh-CN"/>
        </w:rPr>
        <w:t>公共资源交易</w:t>
      </w:r>
      <w:r>
        <w:rPr>
          <w:rFonts w:hint="eastAsia" w:ascii="仿宋_GB2312" w:hAnsi="仿宋_GB2312" w:eastAsia="仿宋_GB2312" w:cs="仿宋_GB2312"/>
          <w:color w:val="auto"/>
          <w:sz w:val="32"/>
          <w:szCs w:val="32"/>
        </w:rPr>
        <w:t>招标项目开展定向检查；对日常监管事项，通过随机抽取检查对象、随机选派检查人员等方式开展不定向检查，并将检查结果及时向社会公开。</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sz w:val="32"/>
          <w:szCs w:val="32"/>
        </w:rPr>
        <w:t>局可以根据考评结果合理优化对代理机构的监督检查频次。</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第十九条</w:t>
      </w:r>
      <w:r>
        <w:rPr>
          <w:rFonts w:hint="eastAsia" w:ascii="仿宋_GB2312" w:hAnsi="仿宋_GB2312" w:eastAsia="仿宋_GB2312" w:cs="仿宋_GB2312"/>
          <w:b w:val="0"/>
          <w:bCs/>
          <w:color w:val="auto"/>
          <w:sz w:val="32"/>
          <w:szCs w:val="32"/>
        </w:rPr>
        <w:t xml:space="preserve"> </w:t>
      </w:r>
      <w:r>
        <w:rPr>
          <w:rFonts w:hint="eastAsia" w:ascii="仿宋_GB2312" w:hAnsi="仿宋_GB2312" w:eastAsia="仿宋_GB2312" w:cs="仿宋_GB2312"/>
          <w:color w:val="auto"/>
          <w:sz w:val="32"/>
          <w:szCs w:val="32"/>
        </w:rPr>
        <w:t>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sz w:val="32"/>
          <w:szCs w:val="32"/>
        </w:rPr>
        <w:t>局</w:t>
      </w:r>
      <w:r>
        <w:rPr>
          <w:rFonts w:hint="eastAsia" w:ascii="仿宋_GB2312" w:hAnsi="仿宋_GB2312" w:eastAsia="仿宋_GB2312" w:cs="仿宋_GB2312"/>
          <w:color w:val="auto"/>
          <w:sz w:val="32"/>
          <w:szCs w:val="32"/>
          <w:lang w:eastAsia="zh-CN"/>
        </w:rPr>
        <w:t>不定期</w:t>
      </w:r>
      <w:r>
        <w:rPr>
          <w:rFonts w:hint="eastAsia" w:ascii="仿宋_GB2312" w:hAnsi="仿宋_GB2312" w:eastAsia="仿宋_GB2312" w:cs="仿宋_GB2312"/>
          <w:color w:val="auto"/>
          <w:sz w:val="32"/>
          <w:szCs w:val="32"/>
        </w:rPr>
        <w:t>对代理机构进行</w:t>
      </w:r>
      <w:r>
        <w:rPr>
          <w:rFonts w:hint="eastAsia" w:ascii="仿宋_GB2312" w:hAnsi="仿宋_GB2312" w:eastAsia="仿宋_GB2312" w:cs="仿宋_GB2312"/>
          <w:color w:val="auto"/>
          <w:sz w:val="32"/>
          <w:szCs w:val="32"/>
          <w:lang w:eastAsia="zh-CN"/>
        </w:rPr>
        <w:t>抽查</w:t>
      </w:r>
      <w:r>
        <w:rPr>
          <w:rFonts w:hint="eastAsia" w:ascii="仿宋_GB2312" w:hAnsi="仿宋_GB2312" w:eastAsia="仿宋_GB2312" w:cs="仿宋_GB2312"/>
          <w:color w:val="auto"/>
          <w:sz w:val="32"/>
          <w:szCs w:val="32"/>
        </w:rPr>
        <w:t>考评。考评包括以下内容：</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（一）代理机构名录信息的真实性；</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（二）委托代理合同的签订和执行情况；</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（三）招标文件编制与发布、评审组织、信息公告发布、评审专家抽取及评价情况；</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（四）保证金收取及退还情况，中标人的通知情况；</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（五）协助签订合同、协助招标人组织验收情况；</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（六）答复投标人异议、配合相关部门处理投诉情况；</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（七）档案管理情况；</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（八）其他招标代理从业情况。</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第二十条</w:t>
      </w:r>
      <w:r>
        <w:rPr>
          <w:rFonts w:hint="eastAsia" w:ascii="仿宋_GB2312" w:hAnsi="仿宋_GB2312" w:eastAsia="仿宋_GB2312" w:cs="仿宋_GB2312"/>
          <w:color w:val="auto"/>
          <w:sz w:val="32"/>
          <w:szCs w:val="32"/>
        </w:rPr>
        <w:t xml:space="preserve"> 受到</w:t>
      </w:r>
      <w:r>
        <w:rPr>
          <w:rFonts w:hint="eastAsia" w:ascii="仿宋_GB2312" w:hAnsi="仿宋_GB2312" w:eastAsia="仿宋_GB2312" w:cs="仿宋_GB2312"/>
          <w:color w:val="auto"/>
          <w:sz w:val="32"/>
          <w:szCs w:val="32"/>
          <w:lang w:eastAsia="zh-CN"/>
        </w:rPr>
        <w:t>行政主管部门处罚并禁止执业</w:t>
      </w:r>
      <w:r>
        <w:rPr>
          <w:rFonts w:hint="eastAsia" w:ascii="仿宋_GB2312" w:hAnsi="仿宋_GB2312" w:eastAsia="仿宋_GB2312" w:cs="仿宋_GB2312"/>
          <w:color w:val="auto"/>
          <w:sz w:val="32"/>
          <w:szCs w:val="32"/>
        </w:rPr>
        <w:t>的代理机构，应当及时停止代理业务，已经签订委托代理合同的项目，按下列情况分别处理：</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（一）尚未开始执行的项目，应当及时终止委托代理合同；</w:t>
      </w:r>
    </w:p>
    <w:p>
      <w:pPr>
        <w:keepNext w:val="0"/>
        <w:keepLines w:val="0"/>
        <w:pageBreakBefore w:val="0"/>
        <w:kinsoku/>
        <w:wordWrap/>
        <w:overflowPunct/>
        <w:topLinePunct w:val="0"/>
        <w:autoSpaceDE/>
        <w:autoSpaceDN/>
        <w:bidi w:val="0"/>
        <w:adjustRightInd/>
        <w:snapToGrid/>
        <w:spacing w:line="590" w:lineRule="exact"/>
        <w:ind w:left="0" w:leftChars="0" w:firstLine="419" w:firstLineChars="131"/>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（二）已经开始执行的项目，可以终止的应当及时终止，确因客观原因无法终止的应当妥善做好善后工作。</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第二十一条</w:t>
      </w:r>
      <w:r>
        <w:rPr>
          <w:rFonts w:hint="eastAsia" w:ascii="仿宋_GB2312" w:hAnsi="仿宋_GB2312" w:eastAsia="仿宋_GB2312" w:cs="仿宋_GB2312"/>
          <w:color w:val="auto"/>
          <w:sz w:val="32"/>
          <w:szCs w:val="32"/>
        </w:rPr>
        <w:t xml:space="preserve"> 代理机构及其工作人员违反法律法规的行为，依照法律法规进行处理；涉嫌犯罪的，依法移送司法机关处理。</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代理机构的违法行为给他人造成损失的，依法承担民事责任。</w:t>
      </w:r>
    </w:p>
    <w:p>
      <w:pPr>
        <w:keepNext w:val="0"/>
        <w:keepLines w:val="0"/>
        <w:pageBreakBefore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p>
    <w:p>
      <w:pPr>
        <w:keepNext w:val="0"/>
        <w:keepLines w:val="0"/>
        <w:pageBreakBefore w:val="0"/>
        <w:widowControl/>
        <w:kinsoku/>
        <w:wordWrap/>
        <w:overflowPunct/>
        <w:topLinePunct w:val="0"/>
        <w:autoSpaceDE/>
        <w:autoSpaceDN/>
        <w:bidi w:val="0"/>
        <w:adjustRightInd/>
        <w:snapToGrid/>
        <w:spacing w:before="0" w:beforeAutospacing="0" w:after="64" w:afterLines="20" w:afterAutospacing="0" w:line="590" w:lineRule="exact"/>
        <w:ind w:left="0" w:leftChars="0" w:firstLine="0" w:firstLineChars="0"/>
        <w:jc w:val="center"/>
        <w:textAlignment w:val="auto"/>
        <w:rPr>
          <w:rFonts w:hint="eastAsia" w:ascii="方正黑体_GBK" w:hAnsi="方正黑体_GBK" w:eastAsia="方正黑体_GBK" w:cs="方正黑体_GBK"/>
          <w:color w:val="auto"/>
          <w:kern w:val="0"/>
          <w:sz w:val="32"/>
          <w:szCs w:val="32"/>
          <w:lang w:val="en-US" w:eastAsia="zh-CN" w:bidi="ar-SA"/>
        </w:rPr>
      </w:pPr>
      <w:r>
        <w:rPr>
          <w:rFonts w:hint="eastAsia" w:ascii="方正黑体_GBK" w:hAnsi="方正黑体_GBK" w:eastAsia="方正黑体_GBK" w:cs="方正黑体_GBK"/>
          <w:color w:val="auto"/>
          <w:kern w:val="0"/>
          <w:sz w:val="32"/>
          <w:szCs w:val="32"/>
          <w:lang w:val="en-US" w:eastAsia="zh-CN" w:bidi="ar-SA"/>
        </w:rPr>
        <w:t>第五章 附则</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仿宋_GB2312" w:hAnsi="仿宋_GB2312" w:eastAsia="仿宋_GB2312" w:cs="仿宋_GB2312"/>
          <w:color w:val="auto"/>
          <w:sz w:val="32"/>
          <w:szCs w:val="32"/>
        </w:rPr>
      </w:pPr>
      <w:r>
        <w:rPr>
          <w:rFonts w:hint="eastAsia" w:ascii="方正楷体_GBK" w:hAnsi="方正楷体_GBK" w:eastAsia="方正楷体_GBK" w:cs="方正楷体_GBK"/>
          <w:b w:val="0"/>
          <w:bCs/>
          <w:color w:val="auto"/>
          <w:sz w:val="32"/>
          <w:szCs w:val="32"/>
        </w:rPr>
        <w:t>第二十二条</w:t>
      </w:r>
      <w:r>
        <w:rPr>
          <w:rFonts w:hint="eastAsia" w:ascii="仿宋_GB2312" w:hAnsi="仿宋_GB2312" w:eastAsia="仿宋_GB2312" w:cs="仿宋_GB2312"/>
          <w:b w:val="0"/>
          <w:bCs/>
          <w:color w:val="auto"/>
          <w:sz w:val="32"/>
          <w:szCs w:val="32"/>
        </w:rPr>
        <w:t xml:space="preserve"> </w:t>
      </w:r>
      <w:r>
        <w:rPr>
          <w:rFonts w:hint="eastAsia" w:ascii="仿宋_GB2312" w:hAnsi="仿宋_GB2312" w:eastAsia="仿宋_GB2312" w:cs="仿宋_GB2312"/>
          <w:color w:val="auto"/>
          <w:sz w:val="32"/>
          <w:szCs w:val="32"/>
        </w:rPr>
        <w:t>本办法由市</w:t>
      </w:r>
      <w:r>
        <w:rPr>
          <w:rFonts w:hint="eastAsia" w:ascii="仿宋_GB2312" w:hAnsi="仿宋_GB2312" w:eastAsia="仿宋_GB2312" w:cs="仿宋_GB2312"/>
          <w:color w:val="auto"/>
          <w:sz w:val="32"/>
          <w:szCs w:val="32"/>
          <w:lang w:eastAsia="zh-CN"/>
        </w:rPr>
        <w:t>政务服务</w:t>
      </w:r>
      <w:r>
        <w:rPr>
          <w:rFonts w:hint="eastAsia" w:ascii="仿宋_GB2312" w:hAnsi="仿宋_GB2312" w:eastAsia="仿宋_GB2312" w:cs="仿宋_GB2312"/>
          <w:color w:val="auto"/>
          <w:sz w:val="32"/>
          <w:szCs w:val="32"/>
        </w:rPr>
        <w:t>管</w:t>
      </w:r>
      <w:r>
        <w:rPr>
          <w:rFonts w:hint="eastAsia" w:ascii="仿宋_GB2312" w:hAnsi="仿宋_GB2312" w:eastAsia="仿宋_GB2312" w:cs="仿宋_GB2312"/>
          <w:color w:val="auto"/>
          <w:sz w:val="32"/>
          <w:szCs w:val="32"/>
          <w:lang w:val="en-US" w:eastAsia="zh-CN"/>
        </w:rPr>
        <w:t>理</w:t>
      </w:r>
      <w:r>
        <w:rPr>
          <w:rFonts w:hint="eastAsia" w:ascii="仿宋_GB2312" w:hAnsi="仿宋_GB2312" w:eastAsia="仿宋_GB2312" w:cs="仿宋_GB2312"/>
          <w:color w:val="auto"/>
          <w:sz w:val="32"/>
          <w:szCs w:val="32"/>
        </w:rPr>
        <w:t>局负责解释。</w:t>
      </w:r>
    </w:p>
    <w:p>
      <w:pPr>
        <w:keepNext w:val="0"/>
        <w:keepLines w:val="0"/>
        <w:pageBreakBefore w:val="0"/>
        <w:widowControl w:val="0"/>
        <w:kinsoku/>
        <w:wordWrap/>
        <w:overflowPunct/>
        <w:topLinePunct w:val="0"/>
        <w:autoSpaceDE/>
        <w:autoSpaceDN/>
        <w:bidi w:val="0"/>
        <w:adjustRightInd/>
        <w:snapToGrid/>
        <w:spacing w:line="590" w:lineRule="exact"/>
        <w:ind w:firstLine="640" w:firstLineChars="200"/>
        <w:textAlignment w:val="auto"/>
        <w:rPr>
          <w:rFonts w:hint="eastAsia" w:ascii="方正仿宋_GBK" w:hAnsi="方正仿宋_GBK" w:eastAsia="方正仿宋_GBK" w:cs="方正仿宋_GBK"/>
          <w:b w:val="0"/>
          <w:bCs w:val="0"/>
          <w:sz w:val="32"/>
          <w:szCs w:val="32"/>
          <w:lang w:val="en-US" w:eastAsia="zh-CN"/>
        </w:rPr>
      </w:pPr>
      <w:r>
        <w:rPr>
          <w:rFonts w:hint="eastAsia" w:ascii="方正楷体_GBK" w:hAnsi="方正楷体_GBK" w:eastAsia="方正楷体_GBK" w:cs="方正楷体_GBK"/>
          <w:b w:val="0"/>
          <w:bCs/>
          <w:color w:val="auto"/>
          <w:sz w:val="32"/>
          <w:szCs w:val="32"/>
        </w:rPr>
        <w:t>第二十三条</w:t>
      </w:r>
      <w:r>
        <w:rPr>
          <w:rFonts w:hint="eastAsia" w:ascii="仿宋_GB2312" w:hAnsi="仿宋_GB2312" w:eastAsia="仿宋_GB2312" w:cs="仿宋_GB2312"/>
          <w:b w:val="0"/>
          <w:bCs/>
          <w:color w:val="auto"/>
          <w:sz w:val="32"/>
          <w:szCs w:val="32"/>
        </w:rPr>
        <w:t xml:space="preserve"> </w:t>
      </w:r>
      <w:r>
        <w:rPr>
          <w:rFonts w:hint="eastAsia" w:ascii="仿宋_GB2312" w:hAnsi="仿宋_GB2312" w:eastAsia="仿宋_GB2312" w:cs="仿宋_GB2312"/>
          <w:color w:val="auto"/>
          <w:sz w:val="32"/>
          <w:szCs w:val="32"/>
        </w:rPr>
        <w:t>本办法自印发之日起施行</w:t>
      </w:r>
      <w:r>
        <w:rPr>
          <w:rFonts w:hint="eastAsia" w:ascii="仿宋_GB2312" w:hAnsi="仿宋_GB2312" w:eastAsia="仿宋_GB2312" w:cs="仿宋_GB2312"/>
          <w:color w:val="auto"/>
          <w:sz w:val="32"/>
          <w:szCs w:val="32"/>
          <w:lang w:eastAsia="zh-CN"/>
        </w:rPr>
        <w:t>，原《宿州市政府投资工程建设项目招标代理机构管理暂行办法》（宿公管委〔</w:t>
      </w:r>
      <w:r>
        <w:rPr>
          <w:rFonts w:hint="eastAsia" w:ascii="仿宋_GB2312" w:hAnsi="仿宋_GB2312" w:eastAsia="仿宋_GB2312" w:cs="仿宋_GB2312"/>
          <w:color w:val="auto"/>
          <w:sz w:val="32"/>
          <w:szCs w:val="32"/>
          <w:lang w:val="en-US" w:eastAsia="zh-CN"/>
        </w:rPr>
        <w:t>2018〕1号）同时废止</w:t>
      </w:r>
      <w:r>
        <w:rPr>
          <w:rFonts w:hint="eastAsia" w:ascii="仿宋_GB2312" w:hAnsi="仿宋_GB2312" w:eastAsia="仿宋_GB2312" w:cs="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90" w:lineRule="exact"/>
        <w:textAlignment w:val="auto"/>
        <w:rPr>
          <w:rFonts w:hint="eastAsia"/>
          <w:lang w:val="en-US" w:eastAsia="zh-CN"/>
        </w:rPr>
      </w:pPr>
    </w:p>
    <w:bookmarkEnd w:id="0"/>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楷体_GBK">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黑体简体">
    <w:altName w:val="微软雅黑"/>
    <w:panose1 w:val="03000509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5"/>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6"/>
      <w:wordWrap w:val="0"/>
      <w:ind w:left="2775" w:leftChars="0" w:firstLine="8413" w:firstLineChars="0"/>
      <w:jc w:val="right"/>
      <w:rPr>
        <w:rFonts w:hint="default"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val="0"/>
        <w:bCs w:val="0"/>
        <w:color w:val="005192"/>
        <w:sz w:val="28"/>
        <w:szCs w:val="44"/>
        <w:lang w:val="en-US" w:eastAsia="zh-CN"/>
      </w:rPr>
      <w:t>宿州市公共资源交易监督管理委员会办公室</w:t>
    </w:r>
    <w:r>
      <w:rPr>
        <w:rFonts w:hint="eastAsia" w:ascii="宋体" w:hAnsi="宋体" w:cs="宋体"/>
        <w:b w:val="0"/>
        <w:bCs w:val="0"/>
        <w:color w:val="005192"/>
        <w:sz w:val="28"/>
        <w:szCs w:val="44"/>
        <w:lang w:val="en-US" w:eastAsia="zh-CN"/>
      </w:rPr>
      <w:t>发布</w:t>
    </w:r>
  </w:p>
  <w:p>
    <w:pPr>
      <w:pStyle w:val="6"/>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6"/>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val="0"/>
        <w:bCs w:val="0"/>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val="0"/>
        <w:bCs w:val="0"/>
        <w:color w:val="005192"/>
        <w:sz w:val="32"/>
        <w:lang w:eastAsia="zh-CN"/>
      </w:rPr>
      <w:t>宿州市政务服务管理局行政规范性文件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formatting="1" w:enforcement="1" w:cryptProviderType="rsaFull" w:cryptAlgorithmClass="hash" w:cryptAlgorithmType="typeAny" w:cryptAlgorithmSid="4" w:cryptSpinCount="0" w:hash="H7AbSmEcfctEG0THOkjWSTn+4Cg=" w:salt="/73/DQuD4e3+CR6WM4eeZg=="/>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U3MDRlNzJkNzhiYzk5YTQ4MDllZmRiYmU0Y2U3ZjIifQ=="/>
  </w:docVars>
  <w:rsids>
    <w:rsidRoot w:val="00172A27"/>
    <w:rsid w:val="00D06114"/>
    <w:rsid w:val="019E71BD"/>
    <w:rsid w:val="04B679C3"/>
    <w:rsid w:val="05E451B5"/>
    <w:rsid w:val="080F63D8"/>
    <w:rsid w:val="09341458"/>
    <w:rsid w:val="0B0912D7"/>
    <w:rsid w:val="0C227ABB"/>
    <w:rsid w:val="152D2DCA"/>
    <w:rsid w:val="16B35156"/>
    <w:rsid w:val="1A2170CF"/>
    <w:rsid w:val="1DEC284C"/>
    <w:rsid w:val="1E6523AC"/>
    <w:rsid w:val="1E721D7B"/>
    <w:rsid w:val="22440422"/>
    <w:rsid w:val="31A15F24"/>
    <w:rsid w:val="31A818A9"/>
    <w:rsid w:val="395347B5"/>
    <w:rsid w:val="39A232A0"/>
    <w:rsid w:val="39E745AA"/>
    <w:rsid w:val="3B5A6BBB"/>
    <w:rsid w:val="3DA63B3B"/>
    <w:rsid w:val="3E1C6FD2"/>
    <w:rsid w:val="3EDA13A6"/>
    <w:rsid w:val="42F058B7"/>
    <w:rsid w:val="436109F6"/>
    <w:rsid w:val="441A38D4"/>
    <w:rsid w:val="47A1129D"/>
    <w:rsid w:val="47F925A7"/>
    <w:rsid w:val="4BC77339"/>
    <w:rsid w:val="4C9236C5"/>
    <w:rsid w:val="4E386D05"/>
    <w:rsid w:val="4FFF755F"/>
    <w:rsid w:val="505C172E"/>
    <w:rsid w:val="52F46F0B"/>
    <w:rsid w:val="53D8014D"/>
    <w:rsid w:val="55E064E0"/>
    <w:rsid w:val="572C6D10"/>
    <w:rsid w:val="5DC34279"/>
    <w:rsid w:val="5DC51367"/>
    <w:rsid w:val="5DCA16D1"/>
    <w:rsid w:val="608816D1"/>
    <w:rsid w:val="60EF4E7F"/>
    <w:rsid w:val="660109D5"/>
    <w:rsid w:val="665233C1"/>
    <w:rsid w:val="68464DC5"/>
    <w:rsid w:val="6AD9688B"/>
    <w:rsid w:val="6D0E3F22"/>
    <w:rsid w:val="70BC57B2"/>
    <w:rsid w:val="7143439E"/>
    <w:rsid w:val="79BF7377"/>
    <w:rsid w:val="7C9011D9"/>
    <w:rsid w:val="7DBF4FA6"/>
    <w:rsid w:val="7DC651C5"/>
    <w:rsid w:val="7E692AD8"/>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2"/>
    <w:basedOn w:val="1"/>
    <w:next w:val="1"/>
    <w:qFormat/>
    <w:uiPriority w:val="0"/>
    <w:pPr>
      <w:spacing w:line="590" w:lineRule="exact"/>
      <w:ind w:firstLine="880" w:firstLineChars="200"/>
    </w:pPr>
    <w:rPr>
      <w:rFonts w:eastAsia="方正仿宋_GBK"/>
      <w:b/>
      <w:bCs/>
      <w:kern w:val="0"/>
      <w:sz w:val="32"/>
      <w:szCs w:val="32"/>
    </w:rPr>
  </w:style>
  <w:style w:type="paragraph" w:styleId="3">
    <w:name w:val="annotation text"/>
    <w:basedOn w:val="1"/>
    <w:qFormat/>
    <w:uiPriority w:val="0"/>
    <w:pPr>
      <w:jc w:val="left"/>
    </w:pPr>
  </w:style>
  <w:style w:type="paragraph" w:styleId="4">
    <w:name w:val="Body Text"/>
    <w:basedOn w:val="1"/>
    <w:unhideWhenUsed/>
    <w:qFormat/>
    <w:uiPriority w:val="99"/>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page number"/>
    <w:basedOn w:val="9"/>
    <w:qFormat/>
    <w:uiPriority w:val="0"/>
    <w:rPr>
      <w:rFonts w:ascii="Calibri" w:hAnsi="Calibri" w:eastAsia="宋体"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4897</Words>
  <Characters>5034</Characters>
  <Lines>1</Lines>
  <Paragraphs>1</Paragraphs>
  <TotalTime>3</TotalTime>
  <ScaleCrop>false</ScaleCrop>
  <LinksUpToDate>false</LinksUpToDate>
  <CharactersWithSpaces>5081</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波罗蜜冬瓜</cp:lastModifiedBy>
  <cp:lastPrinted>2021-10-26T03:30:00Z</cp:lastPrinted>
  <dcterms:modified xsi:type="dcterms:W3CDTF">2022-10-19T10:30:21Z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734F1D0E029241E88D9ADFCC7331A94E</vt:lpwstr>
  </property>
</Properties>
</file>