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FD701" w14:textId="199D16C8" w:rsidR="009B7732" w:rsidRPr="009B7732" w:rsidRDefault="009B7732" w:rsidP="00D75577">
      <w:pPr>
        <w:rPr>
          <w:rStyle w:val="af2"/>
        </w:rPr>
      </w:pPr>
      <w:r>
        <w:rPr>
          <w:rStyle w:val="af2"/>
          <w:rFonts w:hint="eastAsia"/>
        </w:rPr>
        <w:t>一</w:t>
      </w:r>
      <w:r>
        <w:rPr>
          <w:rFonts w:hint="eastAsia"/>
        </w:rPr>
        <w:t>、</w:t>
      </w:r>
      <w:r w:rsidRPr="009B7732">
        <w:rPr>
          <w:rStyle w:val="af2"/>
          <w:rFonts w:hint="eastAsia"/>
        </w:rPr>
        <w:t>聚合平台与虚拟电厂</w:t>
      </w:r>
    </w:p>
    <w:p w14:paraId="43965F66" w14:textId="52FE7A5D" w:rsidR="00D75577" w:rsidRDefault="009B7732" w:rsidP="00D75577">
      <w:pPr>
        <w:rPr>
          <w:rFonts w:hint="eastAsia"/>
        </w:rPr>
      </w:pPr>
      <w:r>
        <w:rPr>
          <w:rFonts w:hint="eastAsia"/>
        </w:rPr>
        <w:t>1</w:t>
      </w:r>
      <w:r w:rsidR="00D75577">
        <w:rPr>
          <w:rFonts w:hint="eastAsia"/>
        </w:rPr>
        <w:t>、概念与基本功能的界定</w:t>
      </w:r>
    </w:p>
    <w:p w14:paraId="7AD6988E" w14:textId="77777777" w:rsidR="00D75577" w:rsidRDefault="00D75577" w:rsidP="00D75577">
      <w:pPr>
        <w:rPr>
          <w:rFonts w:hint="eastAsia"/>
        </w:rPr>
      </w:pPr>
      <w:r>
        <w:rPr>
          <w:rFonts w:hint="eastAsia"/>
        </w:rPr>
        <w:t>虚拟电厂（VPP）通常被定义为通过信息通信与调度优化将大量分布式能源资源（分布式发电、储能、可控负荷等）按需聚合、协调控制并以整体实体参与电网调度与电力市场的系统或运营模式，其核心在于“对物理资源的实时监测、集中/分布式调度与市场化出清”[[2],[1]]。</w:t>
      </w:r>
    </w:p>
    <w:p w14:paraId="3A3900CC" w14:textId="15A76AE3" w:rsidR="003B05BD" w:rsidRDefault="00D75577" w:rsidP="00D75577">
      <w:r>
        <w:rPr>
          <w:rFonts w:hint="eastAsia"/>
        </w:rPr>
        <w:t>聚合者/聚合平台（aggregator / aggregation platform）一方面指扮演将大量小型资源（如居民电池、热泵、智能家电）打包成可交易产品的市场参与者或商业主体；另一方面也可指提供资源接入、数据管理、交易撮合与用户激励等功能的软件/服务平台。文献中常把聚合平台视作实现VPP功能的重要商业与技术载体[[7],[3]]。</w:t>
      </w:r>
    </w:p>
    <w:p w14:paraId="65E93E81" w14:textId="77777777" w:rsidR="00D75577" w:rsidRDefault="00D75577" w:rsidP="00D75577">
      <w:pPr>
        <w:rPr>
          <w:rFonts w:hint="eastAsia"/>
        </w:rPr>
      </w:pPr>
    </w:p>
    <w:p w14:paraId="412DC149" w14:textId="14B36C8F" w:rsidR="00D75577" w:rsidRDefault="009B7732" w:rsidP="00D75577">
      <w:pPr>
        <w:rPr>
          <w:rFonts w:hint="eastAsia"/>
        </w:rPr>
      </w:pPr>
      <w:r>
        <w:rPr>
          <w:rFonts w:hint="eastAsia"/>
        </w:rPr>
        <w:t>2</w:t>
      </w:r>
      <w:r w:rsidR="00D75577">
        <w:rPr>
          <w:rFonts w:hint="eastAsia"/>
        </w:rPr>
        <w:t>、发展历程（演进脉络）</w:t>
      </w:r>
    </w:p>
    <w:p w14:paraId="135CF659" w14:textId="77777777" w:rsidR="00D75577" w:rsidRDefault="00D75577" w:rsidP="00D75577">
      <w:pPr>
        <w:rPr>
          <w:rFonts w:hint="eastAsia"/>
        </w:rPr>
      </w:pPr>
      <w:r>
        <w:rPr>
          <w:rFonts w:hint="eastAsia"/>
        </w:rPr>
        <w:t>初始阶段（需求响应与批量注册）：早期灵活性利用主要以需求响应（DR）计划为主，通过价格信号或信号通知鼓励用户调整用电，此阶段侧重“被动激励”，并以电网运营商或公用事业为主导的项目较多[[3]]。</w:t>
      </w:r>
    </w:p>
    <w:p w14:paraId="70636C3A" w14:textId="77777777" w:rsidR="00D75577" w:rsidRDefault="00D75577" w:rsidP="00D75577">
      <w:pPr>
        <w:rPr>
          <w:rFonts w:hint="eastAsia"/>
        </w:rPr>
      </w:pPr>
      <w:r>
        <w:rPr>
          <w:rFonts w:hint="eastAsia"/>
        </w:rPr>
        <w:t>聚合化与市场化（aggregator出现）：随着智能计量、通讯与家用智能设备普及，出现专门的聚合者/聚合平台，负责将大量</w:t>
      </w:r>
      <w:proofErr w:type="gramStart"/>
      <w:r>
        <w:rPr>
          <w:rFonts w:hint="eastAsia"/>
        </w:rPr>
        <w:t>小资源</w:t>
      </w:r>
      <w:proofErr w:type="gramEnd"/>
      <w:r>
        <w:rPr>
          <w:rFonts w:hint="eastAsia"/>
        </w:rPr>
        <w:t>打包成可参与的市场产品，开始进入辅助服务市场与容量市场，商业模式从单一补贴/节约向以市场价差与服务费用为主转变[[7],[3]]。</w:t>
      </w:r>
    </w:p>
    <w:p w14:paraId="519B21F9" w14:textId="313BDA3E" w:rsidR="00D75577" w:rsidRDefault="00D75577" w:rsidP="00D75577">
      <w:r>
        <w:rPr>
          <w:rFonts w:hint="eastAsia"/>
        </w:rPr>
        <w:t>VPP化与主动调度（技术驱动的转型）：近年来，随着储能成本下降、云端计算与预测/优化算法进步，聚合平台逐步向具有实时或近实时调度能力的虚拟电厂演化：不仅撮合交易，还直接控制终端设备以保证出清合约履约，成为技术驱动的“主动管理+市场参与”实体[[2],[1],[5]]。NREL的综述指出，VPP并非全新概念，而是对长期存在的DR与聚合实践在数字化与市场化条件下的升级，使得DER可以更直接、更大规模地为电网提供灵活性与辅助服务[[3]]。</w:t>
      </w:r>
    </w:p>
    <w:p w14:paraId="4BAA9A55" w14:textId="77777777" w:rsidR="00D75577" w:rsidRDefault="00D75577" w:rsidP="00D75577">
      <w:pPr>
        <w:rPr>
          <w:rFonts w:hint="eastAsia"/>
        </w:rPr>
      </w:pPr>
    </w:p>
    <w:p w14:paraId="4A635A79" w14:textId="56C22534" w:rsidR="00D75577" w:rsidRDefault="009B7732" w:rsidP="00D75577">
      <w:pPr>
        <w:rPr>
          <w:rFonts w:hint="eastAsia"/>
        </w:rPr>
      </w:pPr>
      <w:r>
        <w:rPr>
          <w:rFonts w:hint="eastAsia"/>
        </w:rPr>
        <w:t>3</w:t>
      </w:r>
      <w:r w:rsidR="00D75577">
        <w:rPr>
          <w:rFonts w:hint="eastAsia"/>
        </w:rPr>
        <w:t>、两者的内在联系与区别（技术与市场层面）</w:t>
      </w:r>
    </w:p>
    <w:p w14:paraId="6092B48A" w14:textId="77777777" w:rsidR="00D75577" w:rsidRDefault="00D75577" w:rsidP="00D75577">
      <w:pPr>
        <w:rPr>
          <w:rFonts w:hint="eastAsia"/>
        </w:rPr>
      </w:pPr>
      <w:r>
        <w:rPr>
          <w:rFonts w:hint="eastAsia"/>
        </w:rPr>
        <w:t>联系（功能互补、实现路径）：聚合平台是实现VPP功能的基础设施与商业主体，二者在实践上往往重合——聚合平台负责资源接入、用户管理、计量与合约管理，VPP在此基础上加入更高级的优化与控制模块以实现对物理资源的协调调度并参与市场出清。文献将两者视为“平台（aggregation）+脑/控制（VPP dispatch/DERMS）”的组合体[[7],[1],[3]]。</w:t>
      </w:r>
    </w:p>
    <w:p w14:paraId="376E567A" w14:textId="7724F124" w:rsidR="00D75577" w:rsidRDefault="00D75577" w:rsidP="00D75577">
      <w:r>
        <w:rPr>
          <w:rFonts w:hint="eastAsia"/>
        </w:rPr>
        <w:t>区别（侧重点不同）：聚合平台侧重于“聚合、交易撮合与商业化运作”，强调市场接入、结算与用户激励；而VPP更强调“对物理设备的可控性、实时/预测调度与技术层面的履约能力”，包含更强的优化调度、双向通信与不确定性管理能力[[1],[2]]。因此，具备完整调度与履约能力的聚合平台可以被称为VPP，而不具备主动控制能力、仅提供交易或信息服务的平台则更适合称为聚合平台或aggregator[[3],[7]]。</w:t>
      </w:r>
    </w:p>
    <w:p w14:paraId="770366FD" w14:textId="77777777" w:rsidR="00D75577" w:rsidRDefault="00D75577" w:rsidP="00D75577">
      <w:pPr>
        <w:rPr>
          <w:rFonts w:hint="eastAsia"/>
        </w:rPr>
      </w:pPr>
    </w:p>
    <w:p w14:paraId="21EBA814" w14:textId="11FF8A41" w:rsidR="00D75577" w:rsidRPr="00D75577" w:rsidRDefault="009B7732" w:rsidP="00D75577">
      <w:pPr>
        <w:rPr>
          <w:rStyle w:val="af2"/>
        </w:rPr>
      </w:pPr>
      <w:r>
        <w:rPr>
          <w:rStyle w:val="af2"/>
          <w:rFonts w:hint="eastAsia"/>
        </w:rPr>
        <w:t>二</w:t>
      </w:r>
      <w:r>
        <w:rPr>
          <w:rFonts w:hint="eastAsia"/>
        </w:rPr>
        <w:t>、</w:t>
      </w:r>
      <w:r w:rsidR="00D75577" w:rsidRPr="00D75577">
        <w:rPr>
          <w:rStyle w:val="af2"/>
          <w:rFonts w:hint="eastAsia"/>
        </w:rPr>
        <w:t>国外研究现状</w:t>
      </w:r>
    </w:p>
    <w:p w14:paraId="2F17EF57" w14:textId="77777777" w:rsidR="00D75577" w:rsidRDefault="00D75577" w:rsidP="00D75577">
      <w:pPr>
        <w:rPr>
          <w:rFonts w:hint="eastAsia"/>
        </w:rPr>
      </w:pPr>
    </w:p>
    <w:p w14:paraId="65400704" w14:textId="495E93B0" w:rsidR="00D75577" w:rsidRDefault="00D75577" w:rsidP="00D75577">
      <w:pPr>
        <w:rPr>
          <w:rFonts w:hint="eastAsia"/>
        </w:rPr>
      </w:pPr>
      <w:r>
        <w:rPr>
          <w:rFonts w:hint="eastAsia"/>
        </w:rPr>
        <w:t>1</w:t>
      </w:r>
      <w:r w:rsidR="009B7732">
        <w:rPr>
          <w:rFonts w:hint="eastAsia"/>
        </w:rPr>
        <w:t>、</w:t>
      </w:r>
      <w:r>
        <w:rPr>
          <w:rFonts w:hint="eastAsia"/>
        </w:rPr>
        <w:t xml:space="preserve">德国 </w:t>
      </w:r>
      <w:r w:rsidRPr="00D75577">
        <w:rPr>
          <w:rFonts w:hint="eastAsia"/>
        </w:rPr>
        <w:t>— 示范与实践要点</w:t>
      </w:r>
    </w:p>
    <w:p w14:paraId="645A1405" w14:textId="77777777" w:rsidR="00D75577" w:rsidRDefault="00D75577" w:rsidP="00D75577">
      <w:pPr>
        <w:rPr>
          <w:rFonts w:hint="eastAsia"/>
        </w:rPr>
      </w:pPr>
      <w:r>
        <w:rPr>
          <w:rFonts w:hint="eastAsia"/>
        </w:rPr>
        <w:t>项目与目标：文献指出德国早期的示范工程（文献中以“Regenerative Combined Power Plant”等整合示范为例）着力将风电、光伏、生物质等多种分布式能源与信息通信平台整合，目标在于验证DER聚合后对电网调节与市场参与的可行性[[2]]。</w:t>
      </w:r>
    </w:p>
    <w:p w14:paraId="6EBEEF69" w14:textId="77777777" w:rsidR="00D75577" w:rsidRDefault="00D75577" w:rsidP="00D75577">
      <w:pPr>
        <w:rPr>
          <w:rFonts w:hint="eastAsia"/>
        </w:rPr>
      </w:pPr>
      <w:r>
        <w:rPr>
          <w:rFonts w:hint="eastAsia"/>
        </w:rPr>
        <w:t>技术路径：这些示范常采用三级架构：现场感知与设备接入、通信与数据整合平台、以及基于预测与优化的调度/出清模块，强调对物理资源的可控性与履约能力评估[[1],[2]]。</w:t>
      </w:r>
    </w:p>
    <w:p w14:paraId="2DF3890E" w14:textId="77777777" w:rsidR="00D75577" w:rsidRDefault="00D75577" w:rsidP="00D75577">
      <w:pPr>
        <w:rPr>
          <w:rFonts w:hint="eastAsia"/>
        </w:rPr>
      </w:pPr>
      <w:r>
        <w:rPr>
          <w:rFonts w:hint="eastAsia"/>
        </w:rPr>
        <w:t>市场参与</w:t>
      </w:r>
      <w:proofErr w:type="gramStart"/>
      <w:r>
        <w:rPr>
          <w:rFonts w:hint="eastAsia"/>
        </w:rPr>
        <w:t>与</w:t>
      </w:r>
      <w:proofErr w:type="gramEnd"/>
      <w:r>
        <w:rPr>
          <w:rFonts w:hint="eastAsia"/>
        </w:rPr>
        <w:t>机制设计：德国的政策和市场环境促成了DER以聚合体形</w:t>
      </w:r>
      <w:proofErr w:type="gramStart"/>
      <w:r>
        <w:rPr>
          <w:rFonts w:hint="eastAsia"/>
        </w:rPr>
        <w:t>式参与</w:t>
      </w:r>
      <w:proofErr w:type="gramEnd"/>
      <w:r>
        <w:rPr>
          <w:rFonts w:hint="eastAsia"/>
        </w:rPr>
        <w:t>辅助服务与电</w:t>
      </w:r>
      <w:r>
        <w:rPr>
          <w:rFonts w:hint="eastAsia"/>
        </w:rPr>
        <w:lastRenderedPageBreak/>
        <w:t>能交易，示范项目通常测试如何在批发/辅助服务市场进行出清及结算，并关注计量验收与责任边界问题[[2],[7]]。</w:t>
      </w:r>
    </w:p>
    <w:p w14:paraId="19CF3C14" w14:textId="72DDA5F0" w:rsidR="00D75577" w:rsidRDefault="00D75577" w:rsidP="00D75577">
      <w:r>
        <w:rPr>
          <w:rFonts w:hint="eastAsia"/>
        </w:rPr>
        <w:t>遇到的挑战：德国案例显示，规模化推广受制于互操作性、对资源响应能力的准确评估、以及市场计量/验收标准的完善程度[[1],[2]]。</w:t>
      </w:r>
    </w:p>
    <w:p w14:paraId="10B87142" w14:textId="77777777" w:rsidR="00D75577" w:rsidRDefault="00D75577" w:rsidP="00D75577">
      <w:pPr>
        <w:rPr>
          <w:rFonts w:hint="eastAsia"/>
        </w:rPr>
      </w:pPr>
    </w:p>
    <w:p w14:paraId="5FCECEEE" w14:textId="65CE2248" w:rsidR="00D75577" w:rsidRDefault="00D75577" w:rsidP="00D75577">
      <w:pPr>
        <w:rPr>
          <w:rFonts w:hint="eastAsia"/>
        </w:rPr>
      </w:pPr>
      <w:r>
        <w:rPr>
          <w:rFonts w:hint="eastAsia"/>
        </w:rPr>
        <w:t>2</w:t>
      </w:r>
      <w:r w:rsidR="009B7732">
        <w:rPr>
          <w:rFonts w:hint="eastAsia"/>
        </w:rPr>
        <w:t>、</w:t>
      </w:r>
      <w:r>
        <w:rPr>
          <w:rFonts w:hint="eastAsia"/>
        </w:rPr>
        <w:t xml:space="preserve">英国 </w:t>
      </w:r>
      <w:r w:rsidRPr="00D75577">
        <w:rPr>
          <w:rFonts w:hint="eastAsia"/>
        </w:rPr>
        <w:t>— 示范与市场化实践</w:t>
      </w:r>
    </w:p>
    <w:p w14:paraId="1BE5677D" w14:textId="77777777" w:rsidR="00D75577" w:rsidRDefault="00D75577" w:rsidP="00D75577">
      <w:pPr>
        <w:rPr>
          <w:rFonts w:hint="eastAsia"/>
        </w:rPr>
      </w:pPr>
      <w:r>
        <w:rPr>
          <w:rFonts w:hint="eastAsia"/>
        </w:rPr>
        <w:t>项目与目标：英国在改革能源市场的背景下推动聚合者进入平衡与容量市场，多项示范侧重将住宅电池、智能恒温器等资产聚合为可参与辅助服务的资源，以评估居民侧VPP对电网平衡与峰谷管理的贡献[[7]]。</w:t>
      </w:r>
    </w:p>
    <w:p w14:paraId="4ABFF6E2" w14:textId="77777777" w:rsidR="00D75577" w:rsidRDefault="00D75577" w:rsidP="00D75577">
      <w:pPr>
        <w:rPr>
          <w:rFonts w:hint="eastAsia"/>
        </w:rPr>
      </w:pPr>
      <w:r>
        <w:rPr>
          <w:rFonts w:hint="eastAsia"/>
        </w:rPr>
        <w:t>技术与商业模式：示范通常由商业聚合者或技术服务商牵头，平台不仅负责设备接入与客户管理，还实现对控制信号的下发与市场交易撮合，体现“聚合平台+VPP调度”二元功能[[3],[7]]。</w:t>
      </w:r>
    </w:p>
    <w:p w14:paraId="416F1916" w14:textId="77777777" w:rsidR="00D75577" w:rsidRDefault="00D75577" w:rsidP="00D75577">
      <w:pPr>
        <w:rPr>
          <w:rFonts w:hint="eastAsia"/>
        </w:rPr>
      </w:pPr>
      <w:r>
        <w:rPr>
          <w:rFonts w:hint="eastAsia"/>
        </w:rPr>
        <w:t>市场机制测试：英国案例强调聚合者如何在电力平衡市场和容量安排中报价与履约，并检验动态定价、激励分配与计量验证机制的运行效果[[7]]。</w:t>
      </w:r>
    </w:p>
    <w:p w14:paraId="2F83A959" w14:textId="5E224ACA" w:rsidR="00D75577" w:rsidRDefault="00D75577" w:rsidP="00D75577">
      <w:r>
        <w:rPr>
          <w:rFonts w:hint="eastAsia"/>
        </w:rPr>
        <w:t>遇到的问题：实践中聚合者需面对市场准入规则、结算周期与双重补偿防止等制度性问题，示范常以制度设计改进为重点部分[[7]]。</w:t>
      </w:r>
    </w:p>
    <w:p w14:paraId="697356DE" w14:textId="77777777" w:rsidR="00D75577" w:rsidRDefault="00D75577" w:rsidP="00D75577">
      <w:pPr>
        <w:rPr>
          <w:rFonts w:hint="eastAsia"/>
        </w:rPr>
      </w:pPr>
    </w:p>
    <w:p w14:paraId="75FB7228" w14:textId="7454EA1F" w:rsidR="00D75577" w:rsidRDefault="00D75577" w:rsidP="00D75577">
      <w:pPr>
        <w:rPr>
          <w:rFonts w:hint="eastAsia"/>
        </w:rPr>
      </w:pPr>
      <w:r>
        <w:rPr>
          <w:rFonts w:hint="eastAsia"/>
        </w:rPr>
        <w:t>3</w:t>
      </w:r>
      <w:r w:rsidR="009B7732">
        <w:rPr>
          <w:rFonts w:hint="eastAsia"/>
        </w:rPr>
        <w:t>、</w:t>
      </w:r>
      <w:r>
        <w:rPr>
          <w:rFonts w:hint="eastAsia"/>
        </w:rPr>
        <w:t>美国 — 大规模试点与需求响应演进</w:t>
      </w:r>
    </w:p>
    <w:p w14:paraId="4A5766A3" w14:textId="77777777" w:rsidR="00D75577" w:rsidRDefault="00D75577" w:rsidP="00D75577">
      <w:pPr>
        <w:rPr>
          <w:rFonts w:hint="eastAsia"/>
        </w:rPr>
      </w:pPr>
      <w:r>
        <w:rPr>
          <w:rFonts w:hint="eastAsia"/>
        </w:rPr>
        <w:t>项目与目标：NREL的综述指出，美国长期存在基于需求响应的聚合实践，近年在数字化与储能成本下降推动下，多个试点将家庭与商业DER作为VPP参与批发、辅助服务与容量市场，目标是放大居民侧灵活性并实现市场化价值兑现[[3]]。</w:t>
      </w:r>
    </w:p>
    <w:p w14:paraId="160949AB" w14:textId="77777777" w:rsidR="00D75577" w:rsidRDefault="00D75577" w:rsidP="00D75577">
      <w:pPr>
        <w:rPr>
          <w:rFonts w:hint="eastAsia"/>
        </w:rPr>
      </w:pPr>
      <w:r>
        <w:rPr>
          <w:rFonts w:hint="eastAsia"/>
        </w:rPr>
        <w:t>技术路径与规模化趋势：NREL报告强调VPP由被动价格型DR向“主动控制+市场参与”演进，示范项目通常测试实时调度、预测误差管理与跨市场参与的能力，并对峰值服务潜力进行量化评估（报告中给出对未来峰值份额增长的预测与情景分析）[[3]]。</w:t>
      </w:r>
    </w:p>
    <w:p w14:paraId="7D5BDF69" w14:textId="77777777" w:rsidR="00D75577" w:rsidRDefault="00D75577" w:rsidP="00D75577">
      <w:pPr>
        <w:rPr>
          <w:rFonts w:hint="eastAsia"/>
        </w:rPr>
      </w:pPr>
      <w:r>
        <w:rPr>
          <w:rFonts w:hint="eastAsia"/>
        </w:rPr>
        <w:t>成功要素与挑战：美国产业实践显示，可靠的通信、快速计量及清晰的市场规则是VPP商业化的关键；同时，如何在不同电力市场区域（ISO/RTO）间适配策略是示范关注点[[3]]。</w:t>
      </w:r>
    </w:p>
    <w:p w14:paraId="306B9C20" w14:textId="4896CB7C" w:rsidR="00D75577" w:rsidRDefault="00D75577" w:rsidP="00D75577">
      <w:r>
        <w:rPr>
          <w:rFonts w:hint="eastAsia"/>
        </w:rPr>
        <w:t>经验教训：报告提出需建立标准化的计量与验收流程、设计适应不同区域市场规则的聚合参与路径，以利示范成果向商业化复制[[3]]。</w:t>
      </w:r>
    </w:p>
    <w:p w14:paraId="74A51C6D" w14:textId="77777777" w:rsidR="00D75577" w:rsidRDefault="00D75577" w:rsidP="00D75577"/>
    <w:p w14:paraId="4CD6AABD" w14:textId="293A5705" w:rsidR="00D75577" w:rsidRDefault="00D75577" w:rsidP="00D75577">
      <w:pPr>
        <w:rPr>
          <w:rFonts w:hint="eastAsia"/>
        </w:rPr>
      </w:pPr>
      <w:r>
        <w:rPr>
          <w:rFonts w:hint="eastAsia"/>
        </w:rPr>
        <w:t>4</w:t>
      </w:r>
      <w:r w:rsidR="009B7732">
        <w:rPr>
          <w:rFonts w:hint="eastAsia"/>
        </w:rPr>
        <w:t>、</w:t>
      </w:r>
      <w:r>
        <w:rPr>
          <w:rFonts w:hint="eastAsia"/>
        </w:rPr>
        <w:t>澳大利亚 — 居民电池与频率控制的示范应用</w:t>
      </w:r>
    </w:p>
    <w:p w14:paraId="6260EC79" w14:textId="77777777" w:rsidR="00D75577" w:rsidRDefault="00D75577" w:rsidP="00D75577">
      <w:pPr>
        <w:rPr>
          <w:rFonts w:hint="eastAsia"/>
        </w:rPr>
      </w:pPr>
      <w:r>
        <w:rPr>
          <w:rFonts w:hint="eastAsia"/>
        </w:rPr>
        <w:t>项目与目标：文献指出，澳大利亚因屋顶光伏与家庭电池高度普及，将VPP作为提升电网频率稳定与处理高可再生渗透的关键工具，若干示范项目将大量家庭储能聚合为可在批发与频率控制辅助服务（FCAS）中投标的资源[[5],[2]]。</w:t>
      </w:r>
    </w:p>
    <w:p w14:paraId="3B5CD9AA" w14:textId="77777777" w:rsidR="00D75577" w:rsidRDefault="00D75577" w:rsidP="00D75577">
      <w:pPr>
        <w:rPr>
          <w:rFonts w:hint="eastAsia"/>
        </w:rPr>
      </w:pPr>
      <w:r>
        <w:rPr>
          <w:rFonts w:hint="eastAsia"/>
        </w:rPr>
        <w:t>技术实现与市场参与：示范中聚合者通过平台实现对家庭电池的集中调度与快速响应，参与FCAS等高频次辅助市场，从而在市场波动中为系统提供快速功率支撑与套利机会[[5]]。</w:t>
      </w:r>
    </w:p>
    <w:p w14:paraId="74172453" w14:textId="77777777" w:rsidR="00D75577" w:rsidRDefault="00D75577" w:rsidP="00D75577">
      <w:pPr>
        <w:rPr>
          <w:rFonts w:hint="eastAsia"/>
        </w:rPr>
      </w:pPr>
      <w:r>
        <w:rPr>
          <w:rFonts w:hint="eastAsia"/>
        </w:rPr>
        <w:t>成效与问题：澳大利亚案例显示，通过聚合居民储能参与FCAS可在技术上实现迅速响应并创造商业价值，但同时面临通信延时、设备可用性评估与用户激励持续性等挑战[[5],[2]]。</w:t>
      </w:r>
    </w:p>
    <w:p w14:paraId="2C7EA14A" w14:textId="36D96EA0" w:rsidR="00D75577" w:rsidRDefault="00D75577" w:rsidP="00D75577">
      <w:r>
        <w:rPr>
          <w:rFonts w:hint="eastAsia"/>
        </w:rPr>
        <w:t>政策与商业启示：文献建议通过市场规则调整与示范数据积累来完善对家庭VPP参与辅助服务的计量与结算机制，从而推动规模化应用[[5]]</w:t>
      </w:r>
    </w:p>
    <w:p w14:paraId="4D72410A" w14:textId="77777777" w:rsidR="00D75577" w:rsidRDefault="00D75577" w:rsidP="00D75577"/>
    <w:p w14:paraId="06D57A27" w14:textId="4CCD6E9A" w:rsidR="00D75577" w:rsidRDefault="00D75577" w:rsidP="00D75577">
      <w:pPr>
        <w:rPr>
          <w:rFonts w:hint="eastAsia"/>
        </w:rPr>
      </w:pPr>
      <w:r>
        <w:rPr>
          <w:rFonts w:hint="eastAsia"/>
        </w:rPr>
        <w:t>5</w:t>
      </w:r>
      <w:r w:rsidR="009B7732">
        <w:rPr>
          <w:rFonts w:hint="eastAsia"/>
        </w:rPr>
        <w:t>、</w:t>
      </w:r>
      <w:r>
        <w:rPr>
          <w:rFonts w:hint="eastAsia"/>
        </w:rPr>
        <w:t>日本 — 政府主导的试点与地方化VPP探索</w:t>
      </w:r>
    </w:p>
    <w:p w14:paraId="46BBD27B" w14:textId="77777777" w:rsidR="00D75577" w:rsidRDefault="00D75577" w:rsidP="00D75577">
      <w:pPr>
        <w:rPr>
          <w:rFonts w:hint="eastAsia"/>
        </w:rPr>
      </w:pPr>
      <w:r>
        <w:rPr>
          <w:rFonts w:hint="eastAsia"/>
        </w:rPr>
        <w:t>项目与目标：文献表明，日本在推进可再生并网与电网去中心化的背景下，政府与企业联合开展若干VPP试点，目标包括将住宅光伏与家庭储能、</w:t>
      </w:r>
      <w:proofErr w:type="gramStart"/>
      <w:r>
        <w:rPr>
          <w:rFonts w:hint="eastAsia"/>
        </w:rPr>
        <w:t>微网等</w:t>
      </w:r>
      <w:proofErr w:type="gramEnd"/>
      <w:r>
        <w:rPr>
          <w:rFonts w:hint="eastAsia"/>
        </w:rPr>
        <w:t>本地化资源聚合以增强地方电网的自我调节能力与应对极端事件的韧性[[2]]。</w:t>
      </w:r>
    </w:p>
    <w:p w14:paraId="2E8687E2" w14:textId="77777777" w:rsidR="00D75577" w:rsidRDefault="00D75577" w:rsidP="00D75577">
      <w:pPr>
        <w:rPr>
          <w:rFonts w:hint="eastAsia"/>
        </w:rPr>
      </w:pPr>
      <w:r>
        <w:rPr>
          <w:rFonts w:hint="eastAsia"/>
        </w:rPr>
        <w:t>示范路径：日本的示范通常侧重于区域/社区层面的聚合，测试本地化调度、与配电网运维</w:t>
      </w:r>
      <w:r>
        <w:rPr>
          <w:rFonts w:hint="eastAsia"/>
        </w:rPr>
        <w:lastRenderedPageBreak/>
        <w:t>协同的能力，并探索在市场化道路上如何逐步放开聚合者参与权限[[2],[1]]。</w:t>
      </w:r>
    </w:p>
    <w:p w14:paraId="7A17C2B6" w14:textId="77777777" w:rsidR="00D75577" w:rsidRDefault="00D75577" w:rsidP="00D75577">
      <w:pPr>
        <w:rPr>
          <w:rFonts w:hint="eastAsia"/>
        </w:rPr>
      </w:pPr>
      <w:r>
        <w:rPr>
          <w:rFonts w:hint="eastAsia"/>
        </w:rPr>
        <w:t>遇到的制度与技术问题：示范指出需在计量与验证、用户隐私及收益分配机制上形成可复制方案，同时需要提高对分布式资源可用性和响应能力的准确评估[[1],[2]]。</w:t>
      </w:r>
    </w:p>
    <w:p w14:paraId="36F2C081" w14:textId="7C95C99B" w:rsidR="00D75577" w:rsidRDefault="00D75577" w:rsidP="00D75577">
      <w:r>
        <w:rPr>
          <w:rFonts w:hint="eastAsia"/>
        </w:rPr>
        <w:t>展望：文献建议通过更多跨部门示范和标准化试验来推动日本VPP从试点走向常态</w:t>
      </w:r>
      <w:proofErr w:type="gramStart"/>
      <w:r>
        <w:rPr>
          <w:rFonts w:hint="eastAsia"/>
        </w:rPr>
        <w:t>化部署</w:t>
      </w:r>
      <w:proofErr w:type="gramEnd"/>
      <w:r>
        <w:rPr>
          <w:rFonts w:hint="eastAsia"/>
        </w:rPr>
        <w:t>[[2]]。</w:t>
      </w:r>
    </w:p>
    <w:p w14:paraId="0B145871" w14:textId="77777777" w:rsidR="00D75577" w:rsidRDefault="00D75577" w:rsidP="00D75577">
      <w:pPr>
        <w:rPr>
          <w:rFonts w:hint="eastAsia"/>
        </w:rPr>
      </w:pPr>
    </w:p>
    <w:p w14:paraId="71761152" w14:textId="5529B03A" w:rsidR="00D75577" w:rsidRDefault="009B7732" w:rsidP="00D75577">
      <w:pPr>
        <w:rPr>
          <w:rFonts w:hint="eastAsia"/>
        </w:rPr>
      </w:pPr>
      <w:r>
        <w:rPr>
          <w:rFonts w:hint="eastAsia"/>
        </w:rPr>
        <w:t>6</w:t>
      </w:r>
      <w:r>
        <w:rPr>
          <w:rFonts w:hint="eastAsia"/>
        </w:rPr>
        <w:t>、</w:t>
      </w:r>
      <w:r w:rsidR="00D75577">
        <w:rPr>
          <w:rFonts w:hint="eastAsia"/>
        </w:rPr>
        <w:t>总体评述（基于上述国家示范的共同见解）</w:t>
      </w:r>
    </w:p>
    <w:p w14:paraId="598364EF" w14:textId="77777777" w:rsidR="00D75577" w:rsidRDefault="00D75577" w:rsidP="00D75577">
      <w:pPr>
        <w:rPr>
          <w:rFonts w:hint="eastAsia"/>
        </w:rPr>
      </w:pPr>
      <w:r>
        <w:rPr>
          <w:rFonts w:hint="eastAsia"/>
        </w:rPr>
        <w:t>共性目标：各国示范普遍以验证将大量居民侧DER聚合为可交易/可控的灵活性资源、提升可再生能源并网能力与增强电网短时调节能力为核心[[2],[3],[5]]。</w:t>
      </w:r>
    </w:p>
    <w:p w14:paraId="20C3FF44" w14:textId="77777777" w:rsidR="00D75577" w:rsidRDefault="00D75577" w:rsidP="00D75577">
      <w:pPr>
        <w:rPr>
          <w:rFonts w:hint="eastAsia"/>
        </w:rPr>
      </w:pPr>
      <w:r>
        <w:rPr>
          <w:rFonts w:hint="eastAsia"/>
        </w:rPr>
        <w:t>共性技术路径：均依赖智能计量、低延迟通信、预测与优化调度算法以及严格的计量/验收流程来保证市场履约[[1],[3],[5]]。</w:t>
      </w:r>
    </w:p>
    <w:p w14:paraId="32A507A9" w14:textId="1A249066" w:rsidR="00D75577" w:rsidRDefault="00D75577" w:rsidP="00D75577">
      <w:r>
        <w:rPr>
          <w:rFonts w:hint="eastAsia"/>
        </w:rPr>
        <w:t>关键障碍：互操作性、响应能力评估、市场计量与结算规则、用户激励与隐私保护等是阻碍规模化的主要因素，需通过进一步示范与制度创新来解决[[1],[3],[7]]。</w:t>
      </w:r>
    </w:p>
    <w:p w14:paraId="779E3076" w14:textId="77777777" w:rsidR="00D75577" w:rsidRDefault="00D75577" w:rsidP="00D75577">
      <w:pPr>
        <w:rPr>
          <w:rFonts w:hint="eastAsia"/>
        </w:rPr>
      </w:pPr>
    </w:p>
    <w:p w14:paraId="3CD90815" w14:textId="14D7AA63" w:rsidR="00D75577" w:rsidRDefault="00D75577" w:rsidP="00D75577">
      <w:r w:rsidRPr="00D75577">
        <w:rPr>
          <w:rFonts w:hint="eastAsia"/>
        </w:rPr>
        <w:t>参考文献</w:t>
      </w:r>
    </w:p>
    <w:p w14:paraId="03DEF4D0" w14:textId="046A669F" w:rsidR="00D75577" w:rsidRDefault="00D75577" w:rsidP="00D75577">
      <w:r w:rsidRPr="00D75577">
        <w:rPr>
          <w:rFonts w:hint="eastAsia"/>
        </w:rPr>
        <w:t>[1] Huang J., Li H., Zhang Z. Review of Virtual Power Plant Response Capability Assessment and Optimization Dispatch. Technologies, 2025;13(6):216.</w:t>
      </w:r>
    </w:p>
    <w:p w14:paraId="002F0E81" w14:textId="6367EE33" w:rsidR="00D75577" w:rsidRDefault="00D75577" w:rsidP="00D75577">
      <w:r w:rsidRPr="00D75577">
        <w:rPr>
          <w:rFonts w:hint="eastAsia"/>
        </w:rPr>
        <w:t>[2] Abdelkader S., Amissah J., Abdel-Rahim O. Virtual power plants: an in-depth analysis of their advancements and importance as crucial players in modern power systems. Energy, Sustainability and Society, 2024.</w:t>
      </w:r>
    </w:p>
    <w:p w14:paraId="56AD1F04" w14:textId="0093D1D1" w:rsidR="00D75577" w:rsidRDefault="009B7732" w:rsidP="00D75577">
      <w:r w:rsidRPr="009B7732">
        <w:rPr>
          <w:rFonts w:hint="eastAsia"/>
        </w:rPr>
        <w:t xml:space="preserve">[3] </w:t>
      </w:r>
      <w:proofErr w:type="spellStart"/>
      <w:r w:rsidRPr="009B7732">
        <w:rPr>
          <w:rFonts w:hint="eastAsia"/>
        </w:rPr>
        <w:t>Padullaparti</w:t>
      </w:r>
      <w:proofErr w:type="spellEnd"/>
      <w:r w:rsidRPr="009B7732">
        <w:rPr>
          <w:rFonts w:hint="eastAsia"/>
        </w:rPr>
        <w:t xml:space="preserve"> H. Virtual Power Plants and Distributed Energy Resource Management Systems. NREL report, 2025.</w:t>
      </w:r>
    </w:p>
    <w:p w14:paraId="0637367A" w14:textId="10778240" w:rsidR="009B7732" w:rsidRDefault="009B7732" w:rsidP="00D75577">
      <w:r w:rsidRPr="009B7732">
        <w:rPr>
          <w:rFonts w:hint="eastAsia"/>
        </w:rPr>
        <w:t>[4] Wang K., Cheng B., Ren Y., et al. Flexible resource dynamic aggregation regulation method of virtual power plant. Process Safety and Environmental Protection, 2023/2024.</w:t>
      </w:r>
    </w:p>
    <w:p w14:paraId="66B694A1" w14:textId="06723EEC" w:rsidR="009B7732" w:rsidRDefault="009B7732" w:rsidP="00D75577">
      <w:r w:rsidRPr="009B7732">
        <w:rPr>
          <w:rFonts w:hint="eastAsia"/>
        </w:rPr>
        <w:t>[5] Liu J., Hu H., Yu S., Trinh H. Virtual Power Plant with Renewable Energy Sources and Energy Storage Systems for Sustainable Power Grid. Energies, 2023;16(9):3705.</w:t>
      </w:r>
    </w:p>
    <w:p w14:paraId="4592BAEC" w14:textId="4DCCB5FE" w:rsidR="009B7732" w:rsidRDefault="009B7732" w:rsidP="00D75577">
      <w:r w:rsidRPr="009B7732">
        <w:rPr>
          <w:rFonts w:hint="eastAsia"/>
        </w:rPr>
        <w:t>[6] Wang L., Pan T., Wang Y., Jin X., Yu H., Cao W. A virtual power plant scheduling strategy considering cooperative participation of multiple industrial users in demand response. AIMS Energy, 2025;13(4):798-818.</w:t>
      </w:r>
    </w:p>
    <w:p w14:paraId="4D11CFEE" w14:textId="17E1B489" w:rsidR="009B7732" w:rsidRDefault="009B7732" w:rsidP="00D75577">
      <w:pPr>
        <w:rPr>
          <w:rFonts w:hint="eastAsia"/>
        </w:rPr>
      </w:pPr>
      <w:r w:rsidRPr="009B7732">
        <w:rPr>
          <w:rFonts w:hint="eastAsia"/>
        </w:rPr>
        <w:t>[7] Fang X., Wang Y., et al. Review on Virtual Power Plants/Virtual Aggregators: Concepts and Applications. Renewable &amp; Sustainable Energy Reviews, 2024.</w:t>
      </w:r>
    </w:p>
    <w:sectPr w:rsidR="009B77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03E58" w14:textId="77777777" w:rsidR="00261A68" w:rsidRDefault="00261A68" w:rsidP="00D75577">
      <w:pPr>
        <w:rPr>
          <w:rFonts w:hint="eastAsia"/>
        </w:rPr>
      </w:pPr>
      <w:r>
        <w:separator/>
      </w:r>
    </w:p>
  </w:endnote>
  <w:endnote w:type="continuationSeparator" w:id="0">
    <w:p w14:paraId="6E438375" w14:textId="77777777" w:rsidR="00261A68" w:rsidRDefault="00261A68" w:rsidP="00D755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F3304" w14:textId="77777777" w:rsidR="00261A68" w:rsidRDefault="00261A68" w:rsidP="00D75577">
      <w:pPr>
        <w:rPr>
          <w:rFonts w:hint="eastAsia"/>
        </w:rPr>
      </w:pPr>
      <w:r>
        <w:separator/>
      </w:r>
    </w:p>
  </w:footnote>
  <w:footnote w:type="continuationSeparator" w:id="0">
    <w:p w14:paraId="1E37467B" w14:textId="77777777" w:rsidR="00261A68" w:rsidRDefault="00261A68" w:rsidP="00D7557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3D0"/>
    <w:rsid w:val="000722E5"/>
    <w:rsid w:val="00261A68"/>
    <w:rsid w:val="003B05BD"/>
    <w:rsid w:val="005D4591"/>
    <w:rsid w:val="009B7732"/>
    <w:rsid w:val="00D75577"/>
    <w:rsid w:val="00DF33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BC3E23"/>
  <w15:chartTrackingRefBased/>
  <w15:docId w15:val="{6174A9F0-0D9A-4133-ABE2-97BD4C4DC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F33D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F33D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F33D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F33D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F33D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F33D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F33D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F33D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F33D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33D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F33D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F33D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F33D0"/>
    <w:rPr>
      <w:rFonts w:cstheme="majorBidi"/>
      <w:color w:val="0F4761" w:themeColor="accent1" w:themeShade="BF"/>
      <w:sz w:val="28"/>
      <w:szCs w:val="28"/>
    </w:rPr>
  </w:style>
  <w:style w:type="character" w:customStyle="1" w:styleId="50">
    <w:name w:val="标题 5 字符"/>
    <w:basedOn w:val="a0"/>
    <w:link w:val="5"/>
    <w:uiPriority w:val="9"/>
    <w:semiHidden/>
    <w:rsid w:val="00DF33D0"/>
    <w:rPr>
      <w:rFonts w:cstheme="majorBidi"/>
      <w:color w:val="0F4761" w:themeColor="accent1" w:themeShade="BF"/>
      <w:sz w:val="24"/>
      <w:szCs w:val="24"/>
    </w:rPr>
  </w:style>
  <w:style w:type="character" w:customStyle="1" w:styleId="60">
    <w:name w:val="标题 6 字符"/>
    <w:basedOn w:val="a0"/>
    <w:link w:val="6"/>
    <w:uiPriority w:val="9"/>
    <w:semiHidden/>
    <w:rsid w:val="00DF33D0"/>
    <w:rPr>
      <w:rFonts w:cstheme="majorBidi"/>
      <w:b/>
      <w:bCs/>
      <w:color w:val="0F4761" w:themeColor="accent1" w:themeShade="BF"/>
    </w:rPr>
  </w:style>
  <w:style w:type="character" w:customStyle="1" w:styleId="70">
    <w:name w:val="标题 7 字符"/>
    <w:basedOn w:val="a0"/>
    <w:link w:val="7"/>
    <w:uiPriority w:val="9"/>
    <w:semiHidden/>
    <w:rsid w:val="00DF33D0"/>
    <w:rPr>
      <w:rFonts w:cstheme="majorBidi"/>
      <w:b/>
      <w:bCs/>
      <w:color w:val="595959" w:themeColor="text1" w:themeTint="A6"/>
    </w:rPr>
  </w:style>
  <w:style w:type="character" w:customStyle="1" w:styleId="80">
    <w:name w:val="标题 8 字符"/>
    <w:basedOn w:val="a0"/>
    <w:link w:val="8"/>
    <w:uiPriority w:val="9"/>
    <w:semiHidden/>
    <w:rsid w:val="00DF33D0"/>
    <w:rPr>
      <w:rFonts w:cstheme="majorBidi"/>
      <w:color w:val="595959" w:themeColor="text1" w:themeTint="A6"/>
    </w:rPr>
  </w:style>
  <w:style w:type="character" w:customStyle="1" w:styleId="90">
    <w:name w:val="标题 9 字符"/>
    <w:basedOn w:val="a0"/>
    <w:link w:val="9"/>
    <w:uiPriority w:val="9"/>
    <w:semiHidden/>
    <w:rsid w:val="00DF33D0"/>
    <w:rPr>
      <w:rFonts w:eastAsiaTheme="majorEastAsia" w:cstheme="majorBidi"/>
      <w:color w:val="595959" w:themeColor="text1" w:themeTint="A6"/>
    </w:rPr>
  </w:style>
  <w:style w:type="paragraph" w:styleId="a3">
    <w:name w:val="Title"/>
    <w:basedOn w:val="a"/>
    <w:next w:val="a"/>
    <w:link w:val="a4"/>
    <w:uiPriority w:val="10"/>
    <w:qFormat/>
    <w:rsid w:val="00DF33D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F33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33D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F33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33D0"/>
    <w:pPr>
      <w:spacing w:before="160" w:after="160"/>
      <w:jc w:val="center"/>
    </w:pPr>
    <w:rPr>
      <w:i/>
      <w:iCs/>
      <w:color w:val="404040" w:themeColor="text1" w:themeTint="BF"/>
    </w:rPr>
  </w:style>
  <w:style w:type="character" w:customStyle="1" w:styleId="a8">
    <w:name w:val="引用 字符"/>
    <w:basedOn w:val="a0"/>
    <w:link w:val="a7"/>
    <w:uiPriority w:val="29"/>
    <w:rsid w:val="00DF33D0"/>
    <w:rPr>
      <w:i/>
      <w:iCs/>
      <w:color w:val="404040" w:themeColor="text1" w:themeTint="BF"/>
    </w:rPr>
  </w:style>
  <w:style w:type="paragraph" w:styleId="a9">
    <w:name w:val="List Paragraph"/>
    <w:basedOn w:val="a"/>
    <w:uiPriority w:val="34"/>
    <w:qFormat/>
    <w:rsid w:val="00DF33D0"/>
    <w:pPr>
      <w:ind w:left="720"/>
      <w:contextualSpacing/>
    </w:pPr>
  </w:style>
  <w:style w:type="character" w:styleId="aa">
    <w:name w:val="Intense Emphasis"/>
    <w:basedOn w:val="a0"/>
    <w:uiPriority w:val="21"/>
    <w:qFormat/>
    <w:rsid w:val="00DF33D0"/>
    <w:rPr>
      <w:i/>
      <w:iCs/>
      <w:color w:val="0F4761" w:themeColor="accent1" w:themeShade="BF"/>
    </w:rPr>
  </w:style>
  <w:style w:type="paragraph" w:styleId="ab">
    <w:name w:val="Intense Quote"/>
    <w:basedOn w:val="a"/>
    <w:next w:val="a"/>
    <w:link w:val="ac"/>
    <w:uiPriority w:val="30"/>
    <w:qFormat/>
    <w:rsid w:val="00DF3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F33D0"/>
    <w:rPr>
      <w:i/>
      <w:iCs/>
      <w:color w:val="0F4761" w:themeColor="accent1" w:themeShade="BF"/>
    </w:rPr>
  </w:style>
  <w:style w:type="character" w:styleId="ad">
    <w:name w:val="Intense Reference"/>
    <w:basedOn w:val="a0"/>
    <w:uiPriority w:val="32"/>
    <w:qFormat/>
    <w:rsid w:val="00DF33D0"/>
    <w:rPr>
      <w:b/>
      <w:bCs/>
      <w:smallCaps/>
      <w:color w:val="0F4761" w:themeColor="accent1" w:themeShade="BF"/>
      <w:spacing w:val="5"/>
    </w:rPr>
  </w:style>
  <w:style w:type="paragraph" w:styleId="ae">
    <w:name w:val="header"/>
    <w:basedOn w:val="a"/>
    <w:link w:val="af"/>
    <w:uiPriority w:val="99"/>
    <w:unhideWhenUsed/>
    <w:rsid w:val="00D75577"/>
    <w:pPr>
      <w:tabs>
        <w:tab w:val="center" w:pos="4153"/>
        <w:tab w:val="right" w:pos="8306"/>
      </w:tabs>
      <w:snapToGrid w:val="0"/>
      <w:jc w:val="center"/>
    </w:pPr>
    <w:rPr>
      <w:sz w:val="18"/>
      <w:szCs w:val="18"/>
    </w:rPr>
  </w:style>
  <w:style w:type="character" w:customStyle="1" w:styleId="af">
    <w:name w:val="页眉 字符"/>
    <w:basedOn w:val="a0"/>
    <w:link w:val="ae"/>
    <w:uiPriority w:val="99"/>
    <w:rsid w:val="00D75577"/>
    <w:rPr>
      <w:sz w:val="18"/>
      <w:szCs w:val="18"/>
    </w:rPr>
  </w:style>
  <w:style w:type="paragraph" w:styleId="af0">
    <w:name w:val="footer"/>
    <w:basedOn w:val="a"/>
    <w:link w:val="af1"/>
    <w:uiPriority w:val="99"/>
    <w:unhideWhenUsed/>
    <w:rsid w:val="00D75577"/>
    <w:pPr>
      <w:tabs>
        <w:tab w:val="center" w:pos="4153"/>
        <w:tab w:val="right" w:pos="8306"/>
      </w:tabs>
      <w:snapToGrid w:val="0"/>
      <w:jc w:val="left"/>
    </w:pPr>
    <w:rPr>
      <w:sz w:val="18"/>
      <w:szCs w:val="18"/>
    </w:rPr>
  </w:style>
  <w:style w:type="character" w:customStyle="1" w:styleId="af1">
    <w:name w:val="页脚 字符"/>
    <w:basedOn w:val="a0"/>
    <w:link w:val="af0"/>
    <w:uiPriority w:val="99"/>
    <w:rsid w:val="00D75577"/>
    <w:rPr>
      <w:sz w:val="18"/>
      <w:szCs w:val="18"/>
    </w:rPr>
  </w:style>
  <w:style w:type="character" w:styleId="af2">
    <w:name w:val="Strong"/>
    <w:basedOn w:val="a0"/>
    <w:uiPriority w:val="22"/>
    <w:qFormat/>
    <w:rsid w:val="00D755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1458</Words>
  <Characters>3019</Characters>
  <Application>Microsoft Office Word</Application>
  <DocSecurity>0</DocSecurity>
  <Lines>65</Lines>
  <Paragraphs>25</Paragraphs>
  <ScaleCrop>false</ScaleCrop>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天乐 朱</dc:creator>
  <cp:keywords/>
  <dc:description/>
  <cp:lastModifiedBy>天乐 朱</cp:lastModifiedBy>
  <cp:revision>2</cp:revision>
  <dcterms:created xsi:type="dcterms:W3CDTF">2025-11-24T01:57:00Z</dcterms:created>
  <dcterms:modified xsi:type="dcterms:W3CDTF">2025-11-24T02:13:00Z</dcterms:modified>
</cp:coreProperties>
</file>