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SC" w:hAnsi="Noto Sans CJK SC" w:eastAsia="Noto Sans CJK SC"/>
          <w:b/>
          <w:i w:val="0"/>
          <w:color w:val="157A7A"/>
          <w:sz w:val="26"/>
        </w:rPr>
        <w:t>八维文化与产业研究院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i w:val="0"/>
          <w:color w:val="15324A"/>
          <w:sz w:val="50"/>
        </w:rPr>
        <w:t>县域物流异常识别与智能调度系统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6646F"/>
          <w:sz w:val="25"/>
        </w:rPr>
        <w:t>任务一｜三方需求互评与对齐记录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157A7A"/>
          <w:sz w:val="20"/>
        </w:rPr>
        <w:t>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669"/>
      </w:tblGrid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项目名称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多Agent 协同项目——县域物流异常识别与智能调度系统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工单编号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人工智能NLP-多Agent 协同-县域物流异常识别与智能调度系统任务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文档版本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V1.0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资料依据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《多Agent 协同项目 -4- 县域物流异常识别与智能调度系统任务工单》</w:t>
            </w:r>
          </w:p>
        </w:tc>
      </w:tr>
      <w:tr>
        <w:tc>
          <w:tcPr>
            <w:tcW w:type="dxa" w:w="4986"/>
            <w:shd w:fill="EAF1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编制日期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2026年8月22日</w:t>
            </w:r>
          </w:p>
        </w:tc>
      </w:tr>
    </w:tbl>
    <w:p/>
    <w:p>
      <w:pPr>
        <w:pStyle w:val="CaptionNote"/>
        <w:jc w:val="center"/>
      </w:pPr>
      <w:r>
        <w:t>北京八维信息集团｜任务一正式交付文件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文档目的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以Human + AI-A + AI-B角色化评审方式，记录需求澄清、分歧、裁决、删减与最终对齐结论。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适用阶段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任务一：需求分析、前后端架构设计与任务拆解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文档状态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提交版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编制原则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以工单为基准，区分原始需求、最终裁决与当前实现状态；不将未验证能力写成已完成。</w:t>
            </w:r>
          </w:p>
        </w:tc>
      </w:tr>
      <w:tr>
        <w:tc>
          <w:tcPr>
            <w:tcW w:type="dxa" w:w="4986"/>
            <w:shd w:fill="EAF1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阅读对象</w:t>
            </w:r>
          </w:p>
        </w:tc>
        <w:tc>
          <w:tcPr>
            <w:tcW w:type="dxa" w:w="498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项目执行人、指导教师/评审人、开发与测试人员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1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324A"/>
                <w:sz w:val="20"/>
              </w:rPr>
              <w:t>真实性说明：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本文件是依据工单要求、项目设计决策和实施记录整理的“角色化三方评审纪要”，用于形成可审查的需求对齐证据；它不是对某次聊天逐字逐句的伪造转录。</w:t>
            </w:r>
          </w:p>
        </w:tc>
      </w:tr>
    </w:tbl>
    <w:p>
      <w:pPr>
        <w:spacing w:after="20"/>
      </w:pPr>
    </w:p>
    <w:p>
      <w:pPr>
        <w:pStyle w:val="Heading1"/>
      </w:pPr>
      <w: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原始一句话需求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2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Human初始要求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3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AI-A需求分析意见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4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AI-B工程评审意见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5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主要分歧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6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Human最终裁决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7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遗漏问题补充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8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过度设计识别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9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1人1周不可行项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10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保留 / 删除 / 延后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11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最终对齐结论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12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项目执行确认</w:t>
            </w:r>
          </w:p>
        </w:tc>
      </w:tr>
      <w:tr>
        <w:tc>
          <w:tcPr>
            <w:tcW w:type="dxa" w:w="85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附录</w:t>
            </w:r>
          </w:p>
        </w:tc>
        <w:tc>
          <w:tcPr>
            <w:tcW w:type="dxa" w:w="7937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E2A32"/>
                <w:sz w:val="19"/>
              </w:rPr>
              <w:t>三轮评审摘要与当前状态</w:t>
            </w:r>
          </w:p>
        </w:tc>
      </w:tr>
    </w:tbl>
    <w:p>
      <w:pPr>
        <w:pStyle w:val="Heading1"/>
      </w:pPr>
      <w:r>
        <w:t>1 原始一句话需求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7A7A"/>
                <w:sz w:val="20"/>
              </w:rPr>
              <w:t>原始目标：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采用前后端分离架构，开发一个支持长时记忆（实体关系记忆）、异步路径规划（Redis Streams）、并发控制（SQLAlchemy乐观锁）以及降级容灾的Python多Agent县域物流异常识别与智能调度系统，并完成部署上线和接口压测。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  <w:b w:val="0"/>
          <w:i w:val="0"/>
          <w:sz w:val="21"/>
        </w:rPr>
        <w:t>三方对齐的目标不是一开始就写代码，而是先确认：系统到底解决什么业务问题、哪些能力是MVP红线、哪些内容会超出一人一周范围、哪些技术选择存在冲突，以及哪些问题必须由项目执行人最终裁决。</w:t>
      </w:r>
    </w:p>
    <w:p>
      <w:pPr>
        <w:pStyle w:val="Heading1"/>
      </w:pPr>
      <w:r>
        <w:t>2 Human初始要求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7597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Human要求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项目定位</w:t>
            </w:r>
          </w:p>
        </w:tc>
        <w:tc>
          <w:tcPr>
            <w:tcW w:type="dxa" w:w="75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不是单纯Agent Demo，而是可答辩、可部署、可压测的企业级物流异常调度系统。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业务目标</w:t>
            </w:r>
          </w:p>
        </w:tc>
        <w:tc>
          <w:tcPr>
            <w:tcW w:type="dxa" w:w="75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异常发生后能检索历史经验、结合环境与运力给出调度方案，并形成可审计执行结果。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核心技术</w:t>
            </w:r>
          </w:p>
        </w:tc>
        <w:tc>
          <w:tcPr>
            <w:tcW w:type="dxa" w:w="75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FastAPI、LangGraph、SQLAlchemy、Redis Streams、Qdrant/Chroma、React/Vue。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工程要求</w:t>
            </w:r>
          </w:p>
        </w:tc>
        <w:tc>
          <w:tcPr>
            <w:tcW w:type="dxa" w:w="75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并发安全、异步解耦、Fallback、自动化测试、Docker、Locust、AI Review。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范围要求</w:t>
            </w:r>
          </w:p>
        </w:tc>
        <w:tc>
          <w:tcPr>
            <w:tcW w:type="dxa" w:w="75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一人一周，优先MVP，禁止为了“架构高级”做无验收价值的过度设计。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交付要求</w:t>
            </w:r>
          </w:p>
        </w:tc>
        <w:tc>
          <w:tcPr>
            <w:tcW w:type="dxa" w:w="75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需求文档、设计文档、源码、测试、部署、压测、Review、复盘、面试QA。</w:t>
            </w:r>
          </w:p>
        </w:tc>
      </w:tr>
    </w:tbl>
    <w:p>
      <w:pPr>
        <w:spacing w:after="40"/>
      </w:pPr>
    </w:p>
    <w:p>
      <w:pPr>
        <w:pStyle w:val="Heading1"/>
      </w:pPr>
      <w:r>
        <w:t>3 AI-A需求分析意见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AI-A定位为需求/业务分析助手，优先从“是否形成完整业务闭环”和“异常场景是否覆盖”两个角度审查。主要意见如下：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目标用户应至少区分调度员、物流主管和系统运维；三类角色关注点不同。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主流程应明确为“异常上报→历史记忆检索→环境/运力判断→路线决策→执行→审核”，不能只有Agent列表。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长期记忆是项目差异化能力，必须能解释“为什么推荐这条路线”，不能只返回一段LLM文本。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外部天气/路况不可视为可靠依赖，需求中必须定义超时、降级和主流程不中断。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无历史Memory、运力不可用、无安全路线都属于合法业务分支，不能全部当系统异常。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人工复核必须是明确终态之一，否则高风险场景会被自动化错误地“强行完成”。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一人一周范围下，真实GIS、复杂权限、多租户、完整告警平台应从MVP移除或延后。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57A7A"/>
                <w:sz w:val="20"/>
              </w:rPr>
              <w:t>AI-A发现的需求文本问题：</w:t>
            </w: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工单三方职责示例中出现“OCR识别、舆情风控、退赔安全”等与本物流项目不一致的复用用语。评审决定保留“三方对齐方法”，但将业务边界统一改写为天气、路况、运力、路线改派与审计，不将跨项目示例当成物流需求。</w:t>
            </w:r>
          </w:p>
        </w:tc>
      </w:tr>
    </w:tbl>
    <w:p>
      <w:pPr>
        <w:spacing w:after="20"/>
      </w:pPr>
    </w:p>
    <w:p>
      <w:pPr>
        <w:pStyle w:val="Heading1"/>
      </w:pPr>
      <w:r>
        <w:t>4 AI-B工程评审意见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AI-B定位为工程实现助手，重点检查技术栈可行性、状态管理、并发模型、异步任务可靠性和测试可验证性。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工程问题</w:t>
            </w:r>
          </w:p>
        </w:tc>
        <w:tc>
          <w:tcPr>
            <w:tcW w:type="dxa" w:w="7143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AI-B意见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整体架构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采用模块化单体 + 独立Worker，避免一开始拆微服务；Frontend/Backend/Worker/Redis/MySQL/Qdrant通过Compose部署。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Graph执行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FastAPI不应同步执行完整LangGraph；应把任务写Redis Streams，由Worker消费。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状态管理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Graph State必须typed并可序列化，不携带Session、QdrantClient、Provider等基础设施对象。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长期记忆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Agent通过EntityMemoryService使用Qdrant，禁止直接依赖Qdrant SDK；LLM与Embedding Provider解耦。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并发控制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同一Dispatch更新使用SQLAlchemy version_id_col；HTTP同步冲突映射409。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重复执行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乐观锁与幂等是两个不同问题；重复消息需持久化账本 + Redis Execution Lock + 事实对账。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环境容灾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Provider层统一超时与异常，Service层编排Fallback；Circuit Breaker首版进程内即可。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可验证性</w:t>
            </w:r>
          </w:p>
        </w:tc>
        <w:tc>
          <w:tcPr>
            <w:tcW w:type="dxa" w:w="714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关键能力必须有TDD测试：Memory Recall、Optimistic Lock、API Degradation、Worker Recovery等。</w:t>
            </w:r>
          </w:p>
        </w:tc>
      </w:tr>
    </w:tbl>
    <w:p>
      <w:pPr>
        <w:spacing w:after="40"/>
      </w:pPr>
    </w:p>
    <w:p>
      <w:pPr>
        <w:pStyle w:val="Heading1"/>
      </w:pPr>
      <w:r>
        <w:t>5 主要分歧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84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分歧点</w:t>
            </w:r>
          </w:p>
        </w:tc>
        <w:tc>
          <w:tcPr>
            <w:tcW w:type="dxa" w:w="238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AI-A侧重点</w:t>
            </w:r>
          </w:p>
        </w:tc>
        <w:tc>
          <w:tcPr>
            <w:tcW w:type="dxa" w:w="260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AI-B侧重点</w:t>
            </w:r>
          </w:p>
        </w:tc>
        <w:tc>
          <w:tcPr>
            <w:tcW w:type="dxa" w:w="255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评审结论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微服务 vs 模块化单体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业务边界清晰即可，避免影响交付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微服务增加部署、RPC、观测和测试复杂度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模块化单体 + 独立Worker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同步Graph vs 异步Worker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用户需要快速接单响应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长耗时Graph不能占用API请求生命周期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 Streams异步执行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固定模型 vs Provider抽象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业务不应绑定厂商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接口抽象可降低模型切换成本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LLM/Embedding独立Provider；首版OpenAI-Compatible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复杂GIS vs 可替换路线源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MVP先验证异常调度闭环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GIS会引入额外API、坐标与路线成本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InMemory Route Catalog，真实地图延后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Exactly-Once vs Effectively-Once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业务上最关心不能重复派单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Redis本质At-Least-Once，不能虚假承诺Exactly-Once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通过幂等实现Effectively-Once业务副作用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Circuit Breaker是否分布式</w:t>
            </w:r>
          </w:p>
        </w:tc>
        <w:tc>
          <w:tcPr>
            <w:tcW w:type="dxa" w:w="238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业务需要快速降级即可</w:t>
            </w:r>
          </w:p>
        </w:tc>
        <w:tc>
          <w:tcPr>
            <w:tcW w:type="dxa" w:w="26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全局Breaker需Redis协调，超出当前范围</w:t>
            </w:r>
          </w:p>
        </w:tc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process-local MVP</w:t>
            </w:r>
          </w:p>
        </w:tc>
      </w:tr>
    </w:tbl>
    <w:p>
      <w:pPr>
        <w:spacing w:after="40"/>
      </w:pPr>
    </w:p>
    <w:p>
      <w:pPr>
        <w:pStyle w:val="Heading1"/>
      </w:pPr>
      <w:r>
        <w:t>6 Human最终裁决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决策项</w:t>
            </w:r>
          </w:p>
        </w:tc>
        <w:tc>
          <w:tcPr>
            <w:tcW w:type="dxa" w:w="317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最终决定</w:t>
            </w:r>
          </w:p>
        </w:tc>
        <w:tc>
          <w:tcPr>
            <w:tcW w:type="dxa" w:w="4422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裁决理由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架构形态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模块化单体 + 异步Worker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满足企业级边界同时控制一人一周复杂度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任务执行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FastAPI只接单/查询，完整Graph由Worker执行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保护API吞吐和故障隔离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模型接入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可替换Provider；首版OpenAI-Compatible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避免业务代码绑定单一模型厂商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Embedding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与LLM独立配置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向量模型与生成模型需求不同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向量数据库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Qdrant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支持真实向量检索、payload与本地/服务端模式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天气/路况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约0.8s超时 + Fallback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以验收≤1s红线为准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Capacity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Provider边界 + InMemory MVP数据源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不扩张为完整车队管理系统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Routing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RouteProvider + InMemory Catalog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先验证决策与解释，真实地图后接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幂等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DB Ledger + Redis Execution Lock + 对账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处理ACK前崩溃与重复消息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事件推送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 Task Event Stream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支持跨Backend/Worker实例与重连回放</w:t>
            </w:r>
          </w:p>
        </w:tc>
      </w:tr>
      <w:tr>
        <w:tc>
          <w:tcPr>
            <w:tcW w:type="dxa" w:w="192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前端</w:t>
            </w:r>
          </w:p>
        </w:tc>
        <w:tc>
          <w:tcPr>
            <w:tcW w:type="dxa" w:w="317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React + TypeScript + Vite；Mock/Real Adapter分离</w:t>
            </w:r>
          </w:p>
        </w:tc>
        <w:tc>
          <w:tcPr>
            <w:tcW w:type="dxa" w:w="442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先保证展示质量，再逐步接真后端</w:t>
            </w:r>
          </w:p>
        </w:tc>
      </w:tr>
    </w:tbl>
    <w:p>
      <w:pPr>
        <w:spacing w:after="40"/>
      </w:pPr>
    </w:p>
    <w:p>
      <w:pPr>
        <w:pStyle w:val="Heading1"/>
      </w:pPr>
      <w:r>
        <w:t>7 遗漏问题补充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4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遗漏/易漏问题</w:t>
            </w:r>
          </w:p>
        </w:tc>
        <w:tc>
          <w:tcPr>
            <w:tcW w:type="dxa" w:w="294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为什么重要</w:t>
            </w:r>
          </w:p>
        </w:tc>
        <w:tc>
          <w:tcPr>
            <w:tcW w:type="dxa" w:w="453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补充需求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Worker ACK时序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提前ACK会导致崩溃后任务丢失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只有业务可靠终态持久化后才XACK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Pending Recovery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Worker崩溃后消息仍在PEL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使用XPENDING/XAUTOCLAIM恢复原message_id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Retry上限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持续失败会无限循环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delivery_count + Backoff + DLQ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幂等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恢复可能重复执行已落库副作用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DB账本 + Execution Lock + Dispatch/Audit对账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Audit持久化失败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结果没有可靠审计证据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不能ACK，保留可恢复状态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Queue提交失败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DB Ledger已建但Redis没消息会形成幽灵任务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标记SUBMISSION_FAILED并允许同key重试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WebSocket断开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展示断开不应影响业务执行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事件流与业务关键路径解耦；支持Snapshot/Replay/Live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跨进程事件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InMemory Broker无法跨Backend/Worker容器</w:t>
            </w:r>
          </w:p>
        </w:tc>
        <w:tc>
          <w:tcPr>
            <w:tcW w:type="dxa" w:w="45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Redis Task Event Streams</w:t>
            </w:r>
          </w:p>
        </w:tc>
      </w:tr>
    </w:tbl>
    <w:p>
      <w:pPr>
        <w:spacing w:after="40"/>
      </w:pPr>
    </w:p>
    <w:p>
      <w:pPr>
        <w:pStyle w:val="Heading1"/>
      </w:pPr>
      <w:r>
        <w:t>8 过度设计识别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删除预拆微服务、RPC框架和服务注册中心。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不引入Kafka/RabbitMQ，按工单使用Redis Streams。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不引入Kubernetes，部署阶段使用Docker Compose。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不建设完整GIS平台或自研地图引擎。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不建设多租户、复杂RBAC和组织权限中心。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不建设全局分布式Circuit Breaker；首版进程内状态足够。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不建设大模型训练/微调平台。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不使用复杂通用DAO/Repository Factory，保持小接口和清晰职责。</w:t>
      </w:r>
    </w:p>
    <w:p>
      <w:pPr>
        <w:pStyle w:val="Heading1"/>
      </w:pPr>
      <w:r>
        <w:t>9 1人1周不可行项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以下能力如果按照生产完整版而不是MVP接口边界实现，将明显超出一人一周：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4082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超范围原因</w:t>
            </w:r>
          </w:p>
        </w:tc>
        <w:tc>
          <w:tcPr>
            <w:tcW w:type="dxa" w:w="2948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本项目处理</w:t>
            </w:r>
          </w:p>
        </w:tc>
      </w:tr>
      <w:t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真实全国/县域GIS路径规划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地图数据、路权、导航SDK、坐标纠偏、实时路况成本高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RouteProvider抽象，MVP用可控路线目录</w:t>
            </w:r>
          </w:p>
        </w:tc>
      </w:tr>
      <w:t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生产级司机/车辆/站点主数据平台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涉及排班、车队、仓配、权限与历史数据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Capacity Provider抽象，MVP使用确定性数据源</w:t>
            </w:r>
          </w:p>
        </w:tc>
      </w:tr>
      <w:t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全局分布式Circuit Breaker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多Worker状态同步、租约与恢复复杂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进程内Breaker</w:t>
            </w:r>
          </w:p>
        </w:tc>
      </w:tr>
      <w:t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完整可观测平台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日志、指标、链路追踪、告警体系建设量大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先做系统监控页面和必要结构化事件</w:t>
            </w:r>
          </w:p>
        </w:tc>
      </w:tr>
      <w:tr>
        <w:tc>
          <w:tcPr>
            <w:tcW w:type="dxa" w:w="255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多集群高可用</w:t>
            </w:r>
          </w:p>
        </w:tc>
        <w:tc>
          <w:tcPr>
            <w:tcW w:type="dxa" w:w="408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跨节点Redis/MySQL/Qdrant HA需要额外基础设施</w:t>
            </w:r>
          </w:p>
        </w:tc>
        <w:tc>
          <w:tcPr>
            <w:tcW w:type="dxa" w:w="294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6"/>
              </w:rPr>
              <w:t>当前Compose单机集成验证</w:t>
            </w:r>
          </w:p>
        </w:tc>
      </w:tr>
    </w:tbl>
    <w:p>
      <w:pPr>
        <w:spacing w:after="40"/>
      </w:pPr>
    </w:p>
    <w:p>
      <w:pPr>
        <w:pStyle w:val="Heading1"/>
      </w:pPr>
      <w:r>
        <w:t>10 保留 / 删除 / 延后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1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分类</w:t>
            </w:r>
          </w:p>
        </w:tc>
        <w:tc>
          <w:tcPr>
            <w:tcW w:type="dxa" w:w="7483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必须保留</w:t>
            </w:r>
          </w:p>
        </w:tc>
        <w:tc>
          <w:tcPr>
            <w:tcW w:type="dxa" w:w="7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七Agent、Entity Memory、Redis Streams/Worker、乐观锁、环境降级、Audit、Docker、Locust、基础前端。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删除/不采用</w:t>
            </w:r>
          </w:p>
        </w:tc>
        <w:tc>
          <w:tcPr>
            <w:tcW w:type="dxa" w:w="7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预拆微服务、Kafka/RabbitMQ、Kubernetes、复杂通用DAO、同步Graph执行。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延后</w:t>
            </w:r>
          </w:p>
        </w:tc>
        <w:tc>
          <w:tcPr>
            <w:tcW w:type="dxa" w:w="7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真实GIS、真实生产Capacity数据源、多Provider管理UI、DLQ重放、全局Breaker、多租户与复杂权限。</w:t>
            </w:r>
          </w:p>
        </w:tc>
      </w:tr>
      <w:tr>
        <w:tc>
          <w:tcPr>
            <w:tcW w:type="dxa" w:w="2041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真实环境验收阶段</w:t>
            </w:r>
          </w:p>
        </w:tc>
        <w:tc>
          <w:tcPr>
            <w:tcW w:type="dxa" w:w="7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Real Redis、MySQL 8、Qdrant Server、真实天气/路况、真实Embedding Top-1≥92%、多进程Worker。</w:t>
            </w:r>
          </w:p>
        </w:tc>
      </w:tr>
    </w:tbl>
    <w:p>
      <w:pPr>
        <w:spacing w:after="40"/>
      </w:pPr>
    </w:p>
    <w:p>
      <w:pPr>
        <w:pStyle w:val="Heading1"/>
      </w:pPr>
      <w:r>
        <w:t>11 最终对齐结论</w:t>
      </w:r>
    </w:p>
    <w:p>
      <w:pPr>
        <w:pStyle w:val="Heading3"/>
      </w:pPr>
      <w:r>
        <w:t>最终技术与业务链路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React / TypeScript 控制台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FastAPI：异步提交、状态/结果查询、WebSocket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Redis Task Stream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Worker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LangGraph：Intake → Entity Memory → Environment → Capacity → Routing → Dispatch → Audit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MySQL（业务事实） / Qdrant（长期记忆） / Environment Provider（外部环境）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Redis Task Event Stream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Backend WebSocket：Snapshot → Replay → Live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E2A32"/>
                <w:sz w:val="18"/>
              </w:rPr>
              <w:t>Frontend Agent Pipeline / Decision / Audit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  <w:b w:val="0"/>
          <w:i w:val="0"/>
          <w:sz w:val="21"/>
        </w:rPr>
        <w:t>最终MVP的判断标准不是“有几个Agent”，而是是否完成了异常闭环、历史经验复用、并发一致性、异步可靠性、故障降级、可解释与可审计，以及是否能够被自动测试和部署压测证明。</w:t>
      </w:r>
    </w:p>
    <w:p>
      <w:pPr>
        <w:pStyle w:val="Heading1"/>
      </w:pPr>
      <w:r>
        <w:t>12 项目执行确认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确认项</w:t>
            </w:r>
          </w:p>
        </w:tc>
        <w:tc>
          <w:tcPr>
            <w:tcW w:type="dxa" w:w="6690"/>
            <w:shd w:fill="15324A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需求是否先于编码锁定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是。任务一负责需求边界、MVP、异常与WBS；编码属于后续任务。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是否允许AI自行扩大范围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否。AI提出冲突或选型问题，由Human裁决；YAGNI优先。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是否允许未验证能力写成已完成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否。必须区分本地/模拟验证、真实服务验证和未验证项。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是否允许核心并发/可靠性用Mock冒充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shd w:fill="FAFBFC"/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否。Mock用于第三方/测试输入；乐观锁、队列语义、向量检索等必须验证真实机制。</w:t>
            </w:r>
          </w:p>
        </w:tc>
      </w:tr>
      <w:tr>
        <w:tc>
          <w:tcPr>
            <w:tcW w:type="dxa" w:w="283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最终架构是否确认</w:t>
            </w:r>
          </w:p>
        </w:tc>
        <w:tc>
          <w:tcPr>
            <w:tcW w:type="dxa" w:w="669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pPr>
              <w:spacing w:line="276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color w:val="1E2A32"/>
                <w:sz w:val="17"/>
              </w:rPr>
              <w:t>确认：模块化单体 + 独立Worker + Redis Streams + Seven-Agent LangGraph + MySQL/Qdrant + WebSocket。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三轮评审摘要与当前状态</w:t>
      </w:r>
    </w:p>
    <w:p>
      <w:pPr>
        <w:pStyle w:val="Heading2"/>
      </w:pPr>
      <w:r>
        <w:t>A. 第一轮：需求逆向与边界确认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确认核心用户、主流程和高风险异常。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确认长期Memory、异步调度、并发控制与Fallback属于MVP红线。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识别真实GIS、复杂权限、微服务等超范围项。</w:t>
      </w:r>
    </w:p>
    <w:p>
      <w:pPr>
        <w:pStyle w:val="Heading2"/>
      </w:pPr>
      <w:r>
        <w:t>B. 第二轮：交叉互评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AI-A补充业务异常与人工复核路径；AI-B补充Pending、幂等、ACK时序和状态序列化风险。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识别工单正文1.5秒超时示例与最终≤1秒验收冲突，决定按≤1秒设计。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识别Exactly-Once表述风险，改用Effectively-Once业务副作用目标。</w:t>
      </w:r>
    </w:p>
    <w:p>
      <w:pPr>
        <w:pStyle w:val="Heading2"/>
      </w:pPr>
      <w:r>
        <w:t>C. 第三轮：Human最终裁决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冻结模块化单体 + Worker。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冻结七Agent职责边界。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冻结Qdrant Memory、SQLAlchemy乐观锁、Redis Streams、Fallback、Audit。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 w:val="0"/>
          <w:i w:val="0"/>
          <w:sz w:val="20"/>
        </w:rPr>
        <w:t>形成7人日执行WBS并进入设计/编码阶段。</w:t>
      </w:r>
    </w:p>
    <w:p>
      <w:pPr>
        <w:pStyle w:val="Heading2"/>
      </w:pPr>
      <w:r>
        <w:t>D. 当前实现状态说明</w:t>
      </w:r>
    </w:p>
    <w:p>
      <w:r>
        <w:rPr>
          <w:rFonts w:ascii="Noto Serif CJK SC" w:hAnsi="Noto Serif CJK SC" w:eastAsia="Noto Serif CJK SC"/>
          <w:b w:val="0"/>
          <w:i w:val="0"/>
          <w:sz w:val="21"/>
        </w:rPr>
        <w:t>基于当前项目记录，七Agent核心、Redis Worker可靠性、FastAPI异步API、后端WebSocket事件链和完整前端控制台均已形成大量自动化验证；真实Redis/MySQL/Qdrant Docker、多进程Worker、Locust、生产Embedding Top-1≥92%等仍需在对应真实集成/压测阶段完成。该说明仅为项目进展备注，不替代任务一的原始需求与决策记录。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B7882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6B788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E0E6"/>
      </w:pBdr>
    </w:pPr>
    <w:r/>
    <w:r>
      <w:rPr>
        <w:rFonts w:ascii="Noto Sans CJK SC" w:hAnsi="Noto Sans CJK SC" w:eastAsia="Noto Sans CJK SC"/>
        <w:b w:val="0"/>
        <w:i w:val="0"/>
        <w:color w:val="6B7882"/>
        <w:sz w:val="17"/>
      </w:rPr>
      <w:t>CountyFlow AI｜三方需求互评与对齐记录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7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A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Note">
    <w:name w:val="CaptionNote"/>
    <w:rPr>
      <w:rFonts w:ascii="Noto Sans CJK SC" w:hAnsi="Noto Sans CJK SC" w:eastAsia="Noto Sans CJK SC"/>
      <w:color w:val="65737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