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xiii. 14] EXPOUNDED 335</w:t>
        <w:br/>
        <w:br/>
        <w:t>Antichrist and of False Prophets, adds also, “ Little</w:t>
        <w:br/>
        <w:t>children, keep yourselves from idols”—his last words</w:t>
        <w:br/>
        <w:t>in the first Epistle general to the Church. v. 21.</w:t>
        <w:br/>
        <w:t>Though Jesus was a man, who died and rose again,</w:t>
        <w:br/>
        <w:t>the Holy Spirit never moved any to make an image of</w:t>
        <w:br/>
        <w:t>Him. Rome, indeed, makes images of Jesus and uses</w:t>
        <w:br/>
        <w:t>them.</w:t>
        <w:br/>
        <w:t>What light is cast upon this passage by the ‘following</w:t>
        <w:br/>
        <w:t>words of the Creed of Pope Pius! “I most firmly</w:t>
        <w:br/>
        <w:t>assert, that the maces or Curist, of the Mother of</w:t>
        <w:br/>
        <w:t>God, ever virgin, and also of other saints may be had</w:t>
        <w:br/>
        <w:t>and retained, and that due honour and veneration is to be</w:t>
        <w:br/>
        <w:t>given them ”’ (8th Article). Thus Rome paves the way</w:t>
        <w:br/>
        <w:t>for the worship of the image of the False Christ.</w:t>
        <w:br/>
        <w:t>By the emperor’s images, all of ancient days under-</w:t>
        <w:br/>
        <w:t>stood the statues of the imperial head of Rome. On</w:t>
        <w:br/>
        <w:t>this point Chrysostom says, ‘‘ When the stamps and</w:t>
        <w:br/>
        <w:t>images of the emperor are sent down, and brought into a</w:t>
        <w:br/>
        <w:t>city, its rulers and multitude go out to meet them with</w:t>
        <w:br/>
        <w:t>careiulness and reverence, not honouring the tablet or</w:t>
        <w:br/>
        <w:t>the representation moulded in wax, but the standing of</w:t>
        <w:br/>
        <w:t>the emperor” (p. 384).</w:t>
        <w:br/>
        <w:t>On the close connection between the image and the</w:t>
        <w:br/>
        <w:t>man, Basil observes, “ For the image of the emperor is</w:t>
        <w:br/>
        <w:t>also called emperor, and not two emperors . . . because</w:t>
        <w:br/>
        <w:t>honour paid to the image passes on to the original.”</w:t>
        <w:br/>
        <w:t>And again, “So he also that honours not the image,</w:t>
        <w:br/>
        <w:t>honours not the person represented” (p. 364). Athanasius</w:t>
        <w:br/>
        <w:t>of Alexandria observes, ‘‘ To him, who after seeing the</w:t>
        <w:br/>
        <w:t>image, should wish to see the emperor also, the image</w:t>
        <w:br/>
        <w:t>might say, ‘] and the emperor are one, what thou be-</w:t>
        <w:br/>
        <w:t>holdest in that, thou scest in myself ;’ for he who wor-</w:t>
        <w:br/>
        <w:t>shippeth the image, init worshippeth the emperor « for their</w:t>
        <w:br/>
        <w:t>image is his form and likeness.” And Anastasius of</w:t>
        <w:br/>
        <w:t>Antioch says, ““ When the emperor is absent, his image</w:t>
        <w:br/>
        <w:t>is worshipped’ (p. 386). See also Sozomen, viii. 20.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