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xviii. 21-24] EXPOUNDED 483</w:t>
        <w:br/>
        <w:br/>
        <w:t>second. It does not appear that Rome was ever pre-</w:t>
        <w:br/>
        <w:t>eminent in this particular crime.</w:t>
        <w:br/>
        <w:t>She is slayer of “prophets.” This seems, with</w:t>
        <w:br/>
        <w:t>several other Scriptures, to foretell the restoration of</w:t>
        <w:br/>
        <w:t>the spirit of prophecy. And if prophets be raised</w:t>
        <w:br/>
        <w:t>anew, once more will men’s hands, whether in Rome</w:t>
        <w:br/>
        <w:t>or Babylon, be lifted to slay.</w:t>
        <w:br/>
        <w:t>Lastly, the blood of all the slain on the earth is laid</w:t>
        <w:br/>
        <w:t>to her door. “The earth,’ would seem here to be</w:t>
        <w:br/>
        <w:t>limited to the Roman earth. These words seem to be</w:t>
        <w:br/>
        <w:t>the echo of Jer. li, 47-49.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