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62 THE APOCALYPSE [ou. ii, 29</w:t>
        <w:br/>
        <w:br/>
        <w:t>This is the best interpretation that has been proposed.</w:t>
        <w:br/>
        <w:t>My only objection is, that it is not said, “I will make</w:t>
        <w:br/>
        <w:t>him a Morning Star,” or, “like the Morning Star :’’ but,</w:t>
        <w:br/>
        <w:t>“T will give him the Morning Star.” In what sense is</w:t>
        <w:br/>
        <w:t>Christ given to the victor ?</w:t>
        <w:br/>
        <w:br/>
        <w:t>29. ‘‘ He that hath an ear, let him hear what the Spirit saith</w:t>
        <w:br/>
        <w:t>unto the churches.”</w:t>
        <w:br/>
        <w:br/>
        <w:t>The usual exhortation succeeds; but in a different</w:t>
        <w:br/>
        <w:t>place from that which it holds in the first three epistles.</w:t>
        <w:br/>
        <w:t>It now comes after the promises to the victor ; as if the</w:t>
        <w:br/>
        <w:t>call would be listened to, not by the main body of the</w:t>
        <w:br/>
        <w:t>churches, but only by the victorious remnant.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