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Worku</w:t>
      </w:r>
    </w:p>
    <w:p>
      <w:r>
        <w:t>Application: Senior Strategy and Change Management Officer II | Addis Ababa, Ethiopia | 6.1 years experience</w:t>
      </w:r>
    </w:p>
    <w:p>
      <w:r>
        <w:t>Synthetic ID: ETH15-06-028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6.1 years of experience across relevant assignments in Ethiopia. Background in stakeholder engagement, m&amp;e,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Stakeholder engagement | M&amp;E | Reporting | BPR | Strategic planning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Strategy and Change Management Officer II — Fictional Ethiopian Strategy Services 1</w:t>
      </w:r>
    </w:p>
    <w:p>
      <w:r>
        <w:t>Ethiopia | Approx. 2.0 years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2.0 years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2"/>
      </w:pPr>
      <w:r>
        <w:t>Strategy Specialist — Fictional Ethiopian Strategy Services 3</w:t>
      </w:r>
    </w:p>
    <w:p>
      <w:r>
        <w:t>Ethiopia | Approx. 2.0 years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1"/>
      </w:pPr>
      <w:r>
        <w:t>Education</w:t>
      </w:r>
    </w:p>
    <w:p>
      <w:r>
        <w:t>Bachelor of Science / Arts in Business Administration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M&amp;E.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