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Haile</w:t>
      </w:r>
    </w:p>
    <w:p>
      <w:r>
        <w:t>Application: Senior Strategy and Change Management Officer II | Addis Ababa, Ethiopia | 5.8 years experience</w:t>
      </w:r>
    </w:p>
    <w:p>
      <w:r>
        <w:t>Synthetic ID: ETH15-06-044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5.8 years of experience across relevant assignments in Ethiopia. Background in m&amp;e, stakeholder engagement,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M&amp;E | Stakeholder engagement | Reporting | Strategic planning | Change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Strategy Specialist — Fictional Ethiopian Strategy Services 1</w:t>
      </w:r>
    </w:p>
    <w:p>
      <w:r>
        <w:t>Ethiopia | Approx. 1.9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1.9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1.9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Strategic planning.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