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Bekele</w:t>
      </w:r>
    </w:p>
    <w:p>
      <w:r>
        <w:t>Application: Senior Strategy and Change Management Officer II | Addis Ababa, Ethiopia | 5.8 years experience</w:t>
      </w:r>
    </w:p>
    <w:p>
      <w:r>
        <w:t>Synthetic ID: ETH15-06-034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5.8 years of experience across relevant assignments in Ethiopia. Background in stakeholder engagement, m&amp;e,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Stakeholder engagement | M&amp;E | Reporting | Strategic planning | Change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Strategy Specialist — Fictional Ethiopian Strategy Services 1</w:t>
      </w:r>
    </w:p>
    <w:p>
      <w:r>
        <w:t>Ethiopia | Approx. 1.9 years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1.9 years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Strategy Specialist — Fictional Ethiopian Strategy Services 3</w:t>
      </w:r>
    </w:p>
    <w:p>
      <w:r>
        <w:t>Ethiopia | Approx. 1.9 years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1"/>
      </w:pPr>
      <w:r>
        <w:t>Education</w:t>
      </w:r>
    </w:p>
    <w:p>
      <w:r>
        <w:t>Bachelor of Science / Arts in Business Administration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ListBullet"/>
      </w:pPr>
      <w:r>
        <w:t>Contributed to a strategy workstream using Change management, reporting and stakeholder follow-up.</w:t>
      </w:r>
    </w:p>
    <w:p>
      <w:pPr>
        <w:pStyle w:val="ListBullet"/>
      </w:pPr>
      <w:r>
        <w:t>Contributed to a strategy workstream using Change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