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Strategy and Change Management Officer II</w:t>
      </w:r>
    </w:p>
    <w:p>
      <w:pPr>
        <w:pStyle w:val="Subtitle"/>
      </w:pPr>
      <w:r>
        <w:t>Ethiopian Capital Market Authority</w:t>
      </w:r>
    </w:p>
    <w:p>
      <w:r>
        <w:t>Financial Regulation / Strategy | Senior | Ethiopia</w:t>
      </w:r>
    </w:p>
    <w:p>
      <w:pPr>
        <w:pStyle w:val="Heading1"/>
      </w:pPr>
      <w:r>
        <w:t>Job Information</w:t>
      </w:r>
    </w:p>
    <w:p>
      <w:r>
        <w:t>Full-time, Addis Ababa; deadline Oct 8, 2026</w:t>
      </w:r>
    </w:p>
    <w:p>
      <w:pPr>
        <w:pStyle w:val="Heading1"/>
      </w:pPr>
      <w:r>
        <w:t>Background</w:t>
      </w:r>
    </w:p>
    <w:p>
      <w:r>
        <w:t>Ethiopian Capital Market Authority is the public-sector employer advertising this position in financial regulation / strategy.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Senior Strategy and Change Management Officer II position supports the organisation’s work in financial regulation / strategy.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Heading1"/>
      </w:pPr>
      <w:r>
        <w:t>Qualifications and Experience</w:t>
      </w:r>
    </w:p>
    <w:p>
      <w:r>
        <w:t>Bachelor’s or higher in Economics, Finance, Business, Strategy, Public Policy, Industrial Engineering, Statistics, M&amp;E or related; 6 years relevant experience.</w:t>
      </w:r>
    </w:p>
    <w:p>
      <w:pPr>
        <w:pStyle w:val="Heading1"/>
      </w:pPr>
      <w:r>
        <w:t>Required and Desired Skills</w:t>
      </w:r>
    </w:p>
    <w:p>
      <w:r>
        <w:t>Strategic planning, monitoring and evaluation, business-process redesign, digital transformation, regulatory workflows, organizational change.</w:t>
      </w:r>
    </w:p>
    <w:p>
      <w:pPr>
        <w:pStyle w:val="Heading1"/>
      </w:pPr>
      <w:r>
        <w:t>Employment Terms and Application</w:t>
      </w:r>
    </w:p>
    <w:p>
      <w:r>
        <w:t>Full-time, Addis Ababa; deadline Oct 8, 2026</w:t>
      </w:r>
    </w:p>
    <w:p>
      <w:pPr>
        <w:pStyle w:val="Heading1"/>
      </w:pPr>
      <w:r>
        <w:t>Original Job Advertisement</w:t>
      </w:r>
    </w:p>
    <w:p>
      <w:r>
        <w:t>https://etcareers.com/jobs/ethiopian-capital-market-authority-vacancy-2026-senior-strategy-and-change-management-officer-ii-ed25ed3a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