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Abebe</w:t>
      </w:r>
    </w:p>
    <w:p>
      <w:r>
        <w:t>Finance Intern | Gondar, Ethiopia | 0.7 years of experience</w:t>
      </w:r>
    </w:p>
    <w:p>
      <w:r>
        <w:t>Fictional contact: candidate001@example.invalid | +251 000 000 001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SAP, Payroll, Power BI, Tax Compliance and motivated to build strong delivery experience.</w:t>
      </w:r>
    </w:p>
    <w:p>
      <w:pPr>
        <w:pStyle w:val="Heading1"/>
      </w:pPr>
      <w:r>
        <w:t>Core Competencies</w:t>
      </w:r>
    </w:p>
    <w:p>
      <w:r>
        <w:t>Audit Support • QuickBooks • Power BI • Budgeting • IFRS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Intern — Blue Nile Manufacturing</w:t>
      </w:r>
    </w:p>
    <w:p>
      <w:r>
        <w:t>Addis Ababa, Ethiopia | 2025–Present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Forecasting, Peachtree, Budgeting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— Addis Ababa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