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Tadesse</w:t>
      </w:r>
    </w:p>
    <w:p>
      <w:r>
        <w:t>Finance Intern | Bahir Dar, Ethiopia | 0.3 years of experience</w:t>
      </w:r>
    </w:p>
    <w:p>
      <w:r>
        <w:t>Fictional contact: candidate002@example.invalid | +251 000 000 002</w:t>
      </w:r>
    </w:p>
    <w:p>
      <w:pPr>
        <w:pStyle w:val="Heading1"/>
      </w:pPr>
      <w:r>
        <w:t>Professional Summary</w:t>
      </w:r>
    </w:p>
    <w:p>
      <w:r>
        <w:t>Early-career finance &amp; accounting candidate with academic training, internship exposure and practical project work. Comfortable with Bank Reconciliation, Excel, Payroll, QuickBooks and motivated to build strong delivery experience.</w:t>
      </w:r>
    </w:p>
    <w:p>
      <w:pPr>
        <w:pStyle w:val="Heading1"/>
      </w:pPr>
      <w:r>
        <w:t>Core Competencies</w:t>
      </w:r>
    </w:p>
    <w:p>
      <w:r>
        <w:t>QuickBooks • Bank Reconciliation • Peachtree • Forecasting • Excel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Finance Intern — Abyssinia Trading Group</w:t>
      </w:r>
    </w:p>
    <w:p>
      <w:r>
        <w:t>Dessie, Ethiopia | 2025–Present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Audit Support, Payroll, Budgeting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Accounting and Finance — Arba Minch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