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Tadesse</w:t>
      </w:r>
    </w:p>
    <w:p>
      <w:r>
        <w:t>Accounts Assistant | Jimma, Ethiopia | 0.3 years of experience</w:t>
      </w:r>
    </w:p>
    <w:p>
      <w:r>
        <w:t>Fictional contact: candidate005@example.invalid | +251 000 000 005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Tax Compliance, Peachtree, IFRS, Forecasting and motivated to build strong delivery experience.</w:t>
      </w:r>
    </w:p>
    <w:p>
      <w:pPr>
        <w:pStyle w:val="Heading1"/>
      </w:pPr>
      <w:r>
        <w:t>Core Competencies</w:t>
      </w:r>
    </w:p>
    <w:p>
      <w:r>
        <w:t>Forecasting • Excel • Budgeting • Audit Support • IFRS • QuickBooks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Blue Nile Manufacturing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Bank Reconciliation, Excel, Tax Compliance to improve the quality, visibility or efficiency of routine work.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Finance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