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Getachew</w:t>
      </w:r>
    </w:p>
    <w:p>
      <w:r>
        <w:t>Graduate Engineer | Adama, Ethiopia | 0.9 years of experience</w:t>
      </w:r>
    </w:p>
    <w:p>
      <w:r>
        <w:t>Fictional contact: candidate001@example.invalid | +251 000 000 001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Civil 3D, SAP2000, QA/QC, MS Project and motivated to build strong delivery experience.</w:t>
      </w:r>
    </w:p>
    <w:p>
      <w:pPr>
        <w:pStyle w:val="Heading1"/>
      </w:pPr>
      <w:r>
        <w:t>Core Competencies</w:t>
      </w:r>
    </w:p>
    <w:p>
      <w:r>
        <w:t>Contract Administration • HSE • QA/QC • SAP2000 • BOQ Preparation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Rift Valley Construction PLC</w:t>
      </w:r>
    </w:p>
    <w:p>
      <w:r>
        <w:t>Harar, Ethiopia | 2025–Present</w:t>
      </w:r>
    </w:p>
    <w:p>
      <w:pPr>
        <w:pStyle w:val="ListBullet"/>
      </w:pPr>
      <w:r>
        <w:t>Used Contract Administration, AutoCAD, BOQ Preparation to improve the quality, visibility or efficiency of routine work.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Construction Technology and Management — St. Mary’s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