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Getachew</w:t>
      </w:r>
    </w:p>
    <w:p>
      <w:r>
        <w:t>Procurement Intern | Harar, Ethiopia | 0.3 years of experience</w:t>
      </w:r>
    </w:p>
    <w:p>
      <w:r>
        <w:t>Fictional contact: candidate001@example.invalid | +251 000 000 001</w:t>
      </w:r>
    </w:p>
    <w:p>
      <w:pPr>
        <w:pStyle w:val="Heading1"/>
      </w:pPr>
      <w:r>
        <w:t>Professional Summary</w:t>
      </w:r>
    </w:p>
    <w:p>
      <w:r>
        <w:t>Early-career procurement &amp; supply chain candidate with academic training, internship exposure and practical project work. Comfortable with Sourcing, Inventory Management, Excel, Logistics and motivated to build strong delivery experience.</w:t>
      </w:r>
    </w:p>
    <w:p>
      <w:pPr>
        <w:pStyle w:val="Heading1"/>
      </w:pPr>
      <w:r>
        <w:t>Core Competencies</w:t>
      </w:r>
    </w:p>
    <w:p>
      <w:r>
        <w:t>Tendering • Warehouse Management • Logistics • Procurement • SAP • Spend Analysis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Intern — Addis Supply Services</w:t>
      </w:r>
    </w:p>
    <w:p>
      <w:r>
        <w:t>Gondar, Ethiopia | 2025–Present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Used Excel, Spend Analysis, SAP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Logistics and Supply Chain Management — Mekelle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