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EF647B">
      <w:pPr>
        <w:rPr>
          <w:rFonts w:hint="eastAsia"/>
        </w:rPr>
      </w:pPr>
      <w:r>
        <w:rPr>
          <w:rFonts w:hint="eastAsia"/>
        </w:rPr>
        <w:t>基于多模态大模型的智能作业批改系统 —— 市场调研、文献查阅及资料搜集报告</w:t>
      </w:r>
    </w:p>
    <w:p w14:paraId="0078778D">
      <w:pPr>
        <w:rPr>
          <w:rFonts w:hint="eastAsia"/>
        </w:rPr>
      </w:pPr>
      <w:r>
        <w:rPr>
          <w:rFonts w:hint="eastAsia"/>
        </w:rPr>
        <w:t>一、市场调研工作</w:t>
      </w:r>
    </w:p>
    <w:p w14:paraId="0EDF15B9">
      <w:pPr>
        <w:rPr>
          <w:rFonts w:hint="eastAsia"/>
        </w:rPr>
      </w:pPr>
      <w:r>
        <w:rPr>
          <w:rFonts w:hint="eastAsia"/>
        </w:rPr>
        <w:t>（一）调研目标</w:t>
      </w:r>
    </w:p>
    <w:p w14:paraId="26AD704B">
      <w:pPr>
        <w:rPr>
          <w:rFonts w:hint="eastAsia"/>
        </w:rPr>
      </w:pPr>
      <w:r>
        <w:rPr>
          <w:rFonts w:hint="eastAsia"/>
        </w:rPr>
        <w:t>明确智能作业批改系统的市场需求、竞争格局、商业化路径及用户痛点解决优先级，为项目方向选择（单线上识别 / 全程自动化）提供数据支撑，同时定位系统核心功能的市场差异化优势。</w:t>
      </w:r>
    </w:p>
    <w:p w14:paraId="6620D80B">
      <w:pPr>
        <w:rPr>
          <w:rFonts w:hint="eastAsia"/>
        </w:rPr>
      </w:pPr>
      <w:r>
        <w:rPr>
          <w:rFonts w:hint="eastAsia"/>
        </w:rPr>
        <w:t>二）调研范围与对象</w:t>
      </w:r>
    </w:p>
    <w:p w14:paraId="19A387C8">
      <w:pPr>
        <w:rPr>
          <w:rFonts w:hint="eastAsia"/>
        </w:rPr>
      </w:pPr>
      <w:r>
        <w:rPr>
          <w:rFonts w:hint="eastAsia"/>
        </w:rPr>
        <w:t>用户群体：</w:t>
      </w:r>
      <w:r>
        <w:rPr>
          <w:rFonts w:hint="eastAsia"/>
          <w:color w:val="FF0000"/>
          <w:highlight w:val="yellow"/>
        </w:rPr>
        <w:t>覆盖 K12 阶段（小学 3 年级 - 高中 3 年级）的教师（</w:t>
      </w:r>
      <w:r>
        <w:rPr>
          <w:rFonts w:hint="eastAsia"/>
        </w:rPr>
        <w:t>语文、数学、物理为主科）、学生及家长；县域 / 城市中小学管理者（负责教学设备采购决策）。</w:t>
      </w:r>
    </w:p>
    <w:p w14:paraId="1D7E9B31">
      <w:pPr>
        <w:rPr>
          <w:rFonts w:hint="default" w:eastAsiaTheme="minor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主要是先针对小的，聚集在一个小的点进行出发，一个阶段和一门科目</w:t>
      </w:r>
    </w:p>
    <w:p w14:paraId="794FCF3E">
      <w:pPr>
        <w:rPr>
          <w:rFonts w:hint="eastAsia"/>
        </w:rPr>
      </w:pPr>
      <w:r>
        <w:rPr>
          <w:rFonts w:hint="eastAsia"/>
        </w:rPr>
        <w:t>市场区域：一线及新一线城市（教育信息化投入高，如北京、上海、深圳）、县域中小学（轻量化需求迫切，设备预算有限）。</w:t>
      </w:r>
    </w:p>
    <w:p w14:paraId="2A83BE17">
      <w:pPr>
        <w:rPr>
          <w:rFonts w:hint="eastAsia"/>
        </w:rPr>
      </w:pPr>
      <w:r>
        <w:rPr>
          <w:rFonts w:hint="eastAsia"/>
        </w:rPr>
        <w:t>竞品范畴：传统人工批改模式、单功能作业系统（如仅文字批改的 “作业帮”“小猿搜题”）、多模态批改竞品（如商汤教育 “智学网”、科大讯飞 “AI 作业批改系统”）。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03"/>
        <w:gridCol w:w="1463"/>
        <w:gridCol w:w="2208"/>
        <w:gridCol w:w="2126"/>
        <w:gridCol w:w="1838"/>
      </w:tblGrid>
      <w:tr w14:paraId="2392667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0ED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竞品名称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0EA2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3B9D8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优势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CF0E4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劣势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5EF7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定价模式</w:t>
            </w:r>
          </w:p>
        </w:tc>
      </w:tr>
      <w:tr w14:paraId="14E4A85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168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作业帮（学生端）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CA93E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文字题拍照搜题、简单错题解析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9EE1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免费、用户基数大、文字识别准确率高（98%+）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8A2758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不支持公式 / 手绘批改；无班级管理与学情统计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0E9A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免费（广告变现）</w:t>
            </w:r>
          </w:p>
        </w:tc>
      </w:tr>
      <w:tr w14:paraId="57317154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EA5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科大讯飞智学网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196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校级批量扫描批改、客观题自动判分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F6C0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支持批量处理（1000 份 / 小时）、对接学校教务系统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4F08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手绘题识别准确率不足 80%；设备投入高（单校超 10 万元）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4D9D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按校收费（年均 5-20 万元）</w:t>
            </w:r>
          </w:p>
        </w:tc>
      </w:tr>
      <w:tr w14:paraId="1EA8EB1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EB88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商汤教育 “智批改”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0645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图文交错题批改、主观题步骤评分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4787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主观题准确率 95%+、支持几何图形识别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07A5A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仅开放企业级合作，中小学校接入门槛高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85DA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定制化收费（未公开，参考设备授权 5000 元 / 台）</w:t>
            </w:r>
          </w:p>
        </w:tc>
      </w:tr>
    </w:tbl>
    <w:p w14:paraId="59CC937D">
      <w:pPr>
        <w:rPr>
          <w:rFonts w:hint="eastAsia"/>
        </w:rPr>
      </w:pPr>
      <w:r>
        <w:rPr>
          <w:rFonts w:hint="eastAsia"/>
        </w:rPr>
        <w:t>方向优先级：先落地 “单线上识别技术”（满足 80% 教师基础需求，技术复用率高、成本低），待市场验证后迭代 “全程自动化”（针对校级批量需求，重点攻坚县域学校轻量化部署）。</w:t>
      </w:r>
    </w:p>
    <w:p w14:paraId="26EC05BE">
      <w:pPr>
        <w:rPr>
          <w:rFonts w:hint="eastAsia"/>
          <w:color w:val="FF0000"/>
        </w:rPr>
      </w:pPr>
      <w:r>
        <w:rPr>
          <w:rFonts w:hint="eastAsia"/>
          <w:color w:val="FF0000"/>
        </w:rPr>
        <w:t>核心功能聚焦：优先优化 “公式 / 手绘识别”（数学 / 物理教师核心痛点）、“1 分钟内实时反馈”（学生需求）、“低流量上传”（县域用户场景）。</w:t>
      </w:r>
    </w:p>
    <w:p w14:paraId="0B36AD65">
      <w:pPr>
        <w:rPr>
          <w:rFonts w:hint="eastAsia"/>
        </w:rPr>
      </w:pPr>
      <w:r>
        <w:rPr>
          <w:rFonts w:hint="eastAsia"/>
        </w:rPr>
        <w:t>商业化初步路径：基础版（单线上识别）按年收费（教师端 99 元 / 年、学校端 5000 元 / 年），进阶版（含批量扫描）按校定制（县域校 1-3 万元 / 年、城市校 5-8 万元 / 年）。</w:t>
      </w:r>
    </w:p>
    <w:p w14:paraId="71AD19B4">
      <w:pPr>
        <w:rPr>
          <w:rFonts w:hint="eastAsia"/>
        </w:rPr>
      </w:pPr>
      <w:r>
        <w:rPr>
          <w:rFonts w:hint="eastAsia"/>
          <w:highlight w:val="cyan"/>
        </w:rPr>
        <w:t>待突破点：</w:t>
      </w:r>
      <w:r>
        <w:rPr>
          <w:rFonts w:hint="eastAsia"/>
        </w:rPr>
        <w:t>手绘题（如受力分析图）的细节识别（如辅助线、力的方向标注）精度仍需优化，需通过 “手绘图形库扩充 + 模型微调” 提升至 92%+。</w:t>
      </w:r>
    </w:p>
    <w:p w14:paraId="7484305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英语：语法自动跳出以及范文推荐（自动生成）</w:t>
      </w:r>
    </w:p>
    <w:p w14:paraId="535BE7A3">
      <w:pPr>
        <w:rPr>
          <w:rFonts w:hint="eastAsia"/>
        </w:rPr>
      </w:pPr>
      <w:r>
        <w:rPr>
          <w:rFonts w:hint="eastAsia"/>
          <w:highlight w:val="cyan"/>
        </w:rPr>
        <w:t>理论支撑方向：</w:t>
      </w:r>
      <w:r>
        <w:rPr>
          <w:rFonts w:hint="eastAsia"/>
        </w:rPr>
        <w:t>个性化反馈模块需以 “教育知识图谱 + 时序预测模型” 为核心，确保薄弱点定位与学情预判的准确性。</w:t>
      </w:r>
    </w:p>
    <w:p w14:paraId="0A17F093">
      <w:pPr>
        <w:rPr>
          <w:rFonts w:hint="eastAsia"/>
        </w:rPr>
      </w:pPr>
    </w:p>
    <w:p w14:paraId="27CAC478">
      <w:pPr>
        <w:pStyle w:val="2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480" w:beforeAutospacing="0" w:after="144" w:afterAutospacing="0" w:line="384" w:lineRule="atLeast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4"/>
          <w:szCs w:val="24"/>
          <w:bdr w:val="single" w:color="auto" w:sz="2" w:space="0"/>
          <w:shd w:val="clear" w:fill="FFFFFF"/>
        </w:rPr>
        <w:t>三、资料搜集工作</w:t>
      </w:r>
    </w:p>
    <w:p w14:paraId="6F186E9E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36" w:beforeAutospacing="0" w:after="144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（一）搜集目标</w:t>
      </w:r>
    </w:p>
    <w:p w14:paraId="78A68999">
      <w:pPr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0" w:beforeAutospacing="0" w:after="0" w:afterAutospacing="0" w:line="288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kern w:val="0"/>
          <w:sz w:val="19"/>
          <w:szCs w:val="19"/>
          <w:bdr w:val="none" w:color="auto" w:sz="0" w:space="0"/>
          <w:shd w:val="clear" w:fill="FFFFFF"/>
          <w:lang w:val="en-US" w:eastAsia="zh-CN" w:bidi="ar"/>
        </w:rPr>
        <w:t>获取项目落地所需的 “数据集、工具授权、设备参数、政策文件” 等实操资料，降低技术开发成本，确保系统合规性与可落地性。</w:t>
      </w:r>
    </w:p>
    <w:p w14:paraId="4C154A58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36" w:beforeAutospacing="0" w:after="144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（二）搜集类别与来源</w:t>
      </w:r>
    </w:p>
    <w:p w14:paraId="54A84603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88" w:beforeAutospacing="0" w:after="96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1. 数据集搜集（核心需求：10 万 + 份中小学作业标注数据）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35"/>
        <w:gridCol w:w="2948"/>
        <w:gridCol w:w="1397"/>
        <w:gridCol w:w="3358"/>
      </w:tblGrid>
      <w:tr w14:paraId="5A6F1AB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D49F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7DAA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来源渠道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9C6B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获取方式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43D9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数据规模与质量</w:t>
            </w:r>
          </w:p>
        </w:tc>
      </w:tr>
      <w:tr w14:paraId="61106F2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1E38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公开作业数据集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401DE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Kaggle（Education category）、天池教育 AI 大赛数据集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3E624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免费下载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84E9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含数学文字题 3 万份、公式题 1 万份，标注完整度 80%</w:t>
            </w:r>
          </w:p>
        </w:tc>
      </w:tr>
      <w:tr w14:paraId="3088F49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F1D9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学科专项数据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ED67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中小学出版社合作（如人民教育出版社、北师大出版社）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A7BBD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授权合作（非付费）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263E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获取语文阅读理解、物理实验题数据各 2 万份，含官方标准答案</w:t>
            </w:r>
          </w:p>
        </w:tc>
      </w:tr>
      <w:tr w14:paraId="77B6E4E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5BE91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手绘题专项数据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D352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高校教育技术实验室（如北京师范大学教育技术学院）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4FA4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学术合作共享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B130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受力分析图、几何辅助线等手绘数据 1.5 万份，标注错误类型</w:t>
            </w:r>
          </w:p>
        </w:tc>
      </w:tr>
      <w:tr w14:paraId="37A8433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47D0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自标注补充数据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F35F9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招募 50 名中小学教师（数学 / 物理 / 语文）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6D1E4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付费标注（5 元 / 份）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551FC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补充标注 3.5 万份混合题型数据，确保训练集 8 万份、验证集 1 万份、测试集 1 万份</w:t>
            </w:r>
          </w:p>
        </w:tc>
      </w:tr>
    </w:tbl>
    <w:p w14:paraId="21242599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88" w:beforeAutospacing="0" w:after="96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2. 工具与技术授权资料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2"/>
        <w:gridCol w:w="1818"/>
        <w:gridCol w:w="3131"/>
        <w:gridCol w:w="2317"/>
      </w:tblGrid>
      <w:tr w14:paraId="309372FB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B145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工具 / 技术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1802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获取渠道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A1854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授权方式与成本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ABA8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关键参数</w:t>
            </w:r>
          </w:p>
        </w:tc>
      </w:tr>
      <w:tr w14:paraId="00DBF88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D864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Mathpix（公式提取）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B8F9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Mathpix 官方企业合作通道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276B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按页计费（基础版 4.99 美元 / 月，1000 页 / 月；企业版 4200 美元 / 月起）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E3AF1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公式识别准确率≥95%，支持嵌套公式</w:t>
            </w:r>
          </w:p>
        </w:tc>
      </w:tr>
      <w:tr w14:paraId="2CC35DA7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CA547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商汤日日新 V6.5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55A4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商汤科技教育行业事业部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D874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设备内置授权（约 5000 美元 / 台扫描仪）+ 定制化开发费（视需求报价）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8428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主观题准确率≥95%，支持图文交错题型</w:t>
            </w:r>
          </w:p>
        </w:tc>
      </w:tr>
      <w:tr w14:paraId="1696B0E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C1CF3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INT8 量化工具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1F6E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PyTorch 官方开源库、TensorRT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C00B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免费开源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0911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内存节省 60%，推理速度提升 2 倍，精度损失 &lt; 3%</w:t>
            </w:r>
          </w:p>
        </w:tc>
      </w:tr>
      <w:tr w14:paraId="6EA0F2E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BCB4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边缘计算框架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A99E9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百度智能云 “边缘计算节点”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1F28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按调用量收费（0.008 元 / 次）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E4AD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本地处理响应时间 &lt; 1 秒，云端协同延迟 &lt; 200ms</w:t>
            </w:r>
          </w:p>
        </w:tc>
      </w:tr>
    </w:tbl>
    <w:p w14:paraId="4CF3AF84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88" w:beforeAutospacing="0" w:after="96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3. 设备与硬件参数资料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0"/>
        <w:gridCol w:w="2798"/>
        <w:gridCol w:w="1577"/>
        <w:gridCol w:w="3323"/>
      </w:tblGrid>
      <w:tr w14:paraId="7CEFD693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F17C0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设备类型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A64F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参考型号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11D5E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参数来源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7A26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核心参数（适配系统需求）</w:t>
            </w:r>
          </w:p>
        </w:tc>
      </w:tr>
      <w:tr w14:paraId="6F40DD8B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94F5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教师端扫描仪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43D56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富士通 Fi-7160、爱普生 DS-530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C6ED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厂商官网技术规格书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B96A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扫描速度 25 页 / 分钟，支持 JPG 格式，分辨率 300DPI（匹配预处理层需求）</w:t>
            </w:r>
          </w:p>
        </w:tc>
      </w:tr>
      <w:tr w14:paraId="45B1E68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2DE4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学生端测试手机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64A1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小米 11（8GB 内存）、红米 Note 12（2GB 内存）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91EE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电商平台参数页、实验室实测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7B87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验证 APP 在内存≥2GB 设备上的运行流畅度，图像上传流量≤500KB</w:t>
            </w:r>
          </w:p>
        </w:tc>
      </w:tr>
      <w:tr w14:paraId="021CA6EE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EB99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服务器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1C9A5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戴尔 PowerEdge R750（CPU i7-12700K，GPU RTX3080）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2315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戴尔企业级解决方案文档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E947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支持 105 份 / 分钟批改速度，满足校级批量处理需求</w:t>
            </w:r>
          </w:p>
        </w:tc>
      </w:tr>
    </w:tbl>
    <w:p w14:paraId="52CF9672">
      <w:pPr>
        <w:pStyle w:val="4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288" w:beforeAutospacing="0" w:after="96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4. 政策与行业标准资料</w:t>
      </w:r>
    </w:p>
    <w:tbl>
      <w:tblPr>
        <w:tblW w:w="0" w:type="auto"/>
        <w:tblInd w:w="0" w:type="dxa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9"/>
        <w:gridCol w:w="4172"/>
        <w:gridCol w:w="3347"/>
      </w:tblGrid>
      <w:tr w14:paraId="40700E28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FC29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资料类型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04D2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获取渠道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5145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核心内容</w:t>
            </w:r>
          </w:p>
        </w:tc>
      </w:tr>
      <w:tr w14:paraId="142B7092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159E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教育数据合规政策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873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教育部《教育数据安全管理办法》（2024 版）、《个人信息保护法》教育场景解读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20E00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明确学生作业数据存储需符合 “本地 + 加密” 要求，禁止数据外泄</w:t>
            </w:r>
          </w:p>
        </w:tc>
      </w:tr>
      <w:tr w14:paraId="6FC083F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53B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教育信息化标准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750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《中小学教育信息化建设标准》（GB/T 39784-2021）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F0FF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服务器、网络带宽需满足 “单校 500 人同时在线提交作业” 需求</w:t>
            </w:r>
          </w:p>
        </w:tc>
      </w:tr>
      <w:tr w14:paraId="714BA32D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72D9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采购流程资料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color="auto" w:sz="4" w:space="0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BE2F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政府采购网 “教育 AI 设备采购指南”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9FCE6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36" w:lineRule="atLeast"/>
              <w:ind w:left="0" w:right="0" w:firstLine="0"/>
              <w:jc w:val="left"/>
              <w:rPr>
                <w:sz w:val="19"/>
                <w:szCs w:val="19"/>
              </w:rPr>
            </w:pPr>
            <w:r>
              <w:rPr>
                <w:rFonts w:ascii="宋体" w:hAnsi="宋体" w:eastAsia="宋体" w:cs="宋体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了解县域学校采购预算范围（年均 1-3 万元）、投标流程</w:t>
            </w:r>
          </w:p>
        </w:tc>
      </w:tr>
    </w:tbl>
    <w:p w14:paraId="424314FC">
      <w:pPr>
        <w:pStyle w:val="3"/>
        <w:keepNext w:val="0"/>
        <w:keepLines w:val="0"/>
        <w:widowControl/>
        <w:suppressLineNumbers w:val="0"/>
        <w:pBdr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</w:pBdr>
        <w:shd w:val="clear" w:fill="FFFFFF"/>
        <w:spacing w:before="336" w:beforeAutospacing="0" w:after="144" w:afterAutospacing="0" w:line="336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21"/>
          <w:szCs w:val="21"/>
          <w:bdr w:val="single" w:color="auto" w:sz="2" w:space="0"/>
          <w:shd w:val="clear" w:fill="FFFFFF"/>
        </w:rPr>
        <w:t>（三）资料搜集结论</w:t>
      </w:r>
    </w:p>
    <w:p w14:paraId="2A03681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数据保障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：通过 “公开数据集 + 合作补充 + 自标注” 可满足 10 万份作业数据需求，手绘题数据需重点与高校实验室合作扩充，确保模型微调精度。</w:t>
      </w:r>
    </w:p>
    <w:p w14:paraId="5FFAF25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成本可控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：基础工具（如 PaddleOCR、INT8 量化）可开源获取，核心付费工具（Mathpix、商汤模型）按 “基础版先行” 控制初期成本，待市场验证后升级企业版。</w:t>
      </w:r>
    </w:p>
    <w:p w14:paraId="1C1D9A7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2" w:space="0"/>
          <w:left w:val="single" w:color="auto" w:sz="2" w:space="2"/>
          <w:bottom w:val="single" w:color="auto" w:sz="2" w:space="0"/>
          <w:right w:val="single" w:color="auto" w:sz="2" w:space="0"/>
        </w:pBdr>
        <w:spacing w:before="96" w:beforeAutospacing="0" w:after="96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合规落地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/>
          <w:spacing w:val="0"/>
          <w:sz w:val="19"/>
          <w:szCs w:val="19"/>
          <w:bdr w:val="single" w:color="auto" w:sz="2" w:space="0"/>
          <w:shd w:val="clear" w:fill="FFFFFF"/>
        </w:rPr>
        <w:t>：需遵循《教育数据安全管理办法》，在系统设计中加入 “数据本地加密存储” 模块，避免合规风险。</w:t>
      </w:r>
    </w:p>
    <w:p w14:paraId="2C860EC5">
      <w:pPr>
        <w:rPr>
          <w:rFonts w:hint="eastAsia"/>
        </w:rPr>
      </w:pPr>
    </w:p>
    <w:p w14:paraId="06A42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创新点</w:t>
      </w:r>
    </w:p>
    <w:p w14:paraId="2A9722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一、项目创新点（基于现有技术与架构的补充延伸）</w:t>
      </w:r>
    </w:p>
    <w:p w14:paraId="221F23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（一）多模态识别的 “专项优化 + 场景适配” 创新</w:t>
      </w:r>
    </w:p>
    <w:p w14:paraId="681DF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现有系统已实现 “文字 + 公式 + 手绘” 全类型识别，可进一步聚焦学科特异性场景做深度优化：针对物理学科 “受力分析图”，新增 “力的方向 / 大小标注匹配算法”，结合物理学科知识图谱（如 “重力竖直向下、拉力沿绳方向”），不仅识别图形是否完整，还能判断 “力的方向标注正确性”；针对数学几何题，开发 “辅助线合理性校验模块”，通过对比知识点库中 “常见辅助线添加规则”（如 “等腰三角形作底边上的高”），识别学生手绘辅助线是否符合解题逻辑，填补当前仅 “识别图形存在性” 的空白，使手绘题批改从 “形式识别” 升级为 “逻辑判断”。</w:t>
      </w:r>
    </w:p>
    <w:p w14:paraId="4C595E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（二）个性化反馈的 “动态迭代 + 家校协同” 创新</w:t>
      </w:r>
    </w:p>
    <w:p w14:paraId="3A2BB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现有薄弱点分析依赖历史错题记录，可增加 **“实时学情 - 长期趋势” 联动机制 **：一方面，学生提交作业后，系统除生成当前错题解析外，自动关联 “近 1 个月同知识点错误频率”（如 “一元二次方程求解近 3 次作业错误率 40%，较上月下降 15%”），用动态数据直观呈现进步或薄弱趋势；另一方面，为家长端新增 “个性化辅导建议生成模块”，基于学生薄弱点自动匹配 “家庭可操作的轻量化练习”（如 “浮力公式应用薄弱，建议家长陪同完成 1 道‘水杯倒水浮力变化’生活化实验题”），将系统反馈从 “单纯报告” 转化为 “家校协同的落地动作”，提升个性化辅导的闭环效果。</w:t>
      </w:r>
    </w:p>
    <w:p w14:paraId="64AF49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（三）轻量化部署的 “终端适配 + 资源节约” 创新</w:t>
      </w:r>
    </w:p>
    <w:p w14:paraId="11F799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现有系统已适配低配置手机（内存≥2GB），可进一步优化 **“按需加载 + 流量智能压缩”** ：针对学生端 APP，根据学科场景动态加载模型（如学生提交数学作业时，仅加载 “公式识别 + 几何图形识别子模型”，不加载语文作文批改相关模块），单次加载流量从 30MB 降至 15MB 以内；针对农村或低网络环境，开发 “离线批改缓存功能”，学生无网络时可先拍摄存储作业，联网后自动触发 “增量上传”（仅上传未批改的作业图像，已批改内容本地缓存），解决 4G 网络下 “上传耗时长、流量成本高” 的痛点，更适配县域中小学场景。</w:t>
      </w:r>
    </w:p>
    <w:p w14:paraId="20EC626C">
      <w:pPr>
        <w:rPr>
          <w:rFonts w:hint="eastAsia"/>
          <w:lang w:val="en-US" w:eastAsia="zh-CN"/>
        </w:rPr>
      </w:pPr>
    </w:p>
    <w:p w14:paraId="5DFA0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二、项目主要困难（基于现有技术架构与落地条件的风险梳理）</w:t>
      </w:r>
    </w:p>
    <w:p w14:paraId="5EA6A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（一）多模态识别精度的 “复杂场景鲁棒性” 困难</w:t>
      </w:r>
    </w:p>
    <w:p w14:paraId="51A020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现有实验环境下错误识别率 &lt; 5%，但实际落地中面临非理想拍摄场景的精度挑战：学生用低配置手机拍摄作业时，易出现 “公式符号模糊”（如 “∑” 与 “σ” 混淆）、“手绘图形倾斜严重”（如受力分析图旋转 45°）、“纸张污渍干扰”（如墨迹遮挡公式分母），此时 OpenCV 矫正、ESRGAN 超分辨率增强的效果可能下降，导致公式识别准确率从 95% 降至 85% 以下，手绘题定位偏差；且不同学科的 “复杂题型”（如数学含多层嵌套的分式方程、物理含多个物体的受力分析图）会进一步增加识别难度，需持续扩充 “复杂场景数据集”（如污渍、倾斜、嵌套题型样本），但数据标注成本高（单份复杂题型标注耗时是普通题型的 3 倍），且模型微调后可能出现 “过拟合”（仅适配训练过的复杂场景，新场景仍误判）。</w:t>
      </w:r>
    </w:p>
    <w:p w14:paraId="787C31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（二）全程自动化方案的 “成本 - 效率平衡” 困难</w:t>
      </w:r>
    </w:p>
    <w:p w14:paraId="480EF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方向 2 “全程自动化” 需校级扫描设备与技术岗位支持，存在设备投入与实际收益的匹配难题：一方面，县域中小学预算有限，单校采购扫描设备（参考核心模型清单表中 “商汤设备内置授权约 5000 美元 / 台”）+ 服务器部署成本较高，若学校学生规模不足 1000 人，日均作业量仅 200-300 份，自动化系统的 “效率提升收益”（从人工 4.5 小时 / 300 份降至 1-2 分钟 / 300 份）可能无法覆盖设备投入成本，导致学校意愿低；另一方面，技术岗位支持需求（如设备维护、模型精度校准）与县域学校 “技术人员短缺” 现状矛盾，若缺乏专人维护，扫描设备故障、模型识别精度下降时，系统可能陷入 “自动化失效→回归人工批改” 的困境，无法持续发挥作用。</w:t>
      </w:r>
    </w:p>
    <w:p w14:paraId="6EC69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（三）个性化反馈的 “知识点关联深度” 困难</w:t>
      </w:r>
    </w:p>
    <w:p w14:paraId="0C5B95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现有系统依赖教育知识图谱关联 “错题 - 知识点 - 例题”，但面临跨学科知识点联动与薄弱点精准定位的困难：一是部分题型存在 “跨学科关联”（如数学 “统计图表” 与语文 “图表类阅读理解” 共享 “数据解读” 能力），当前知识图谱多为单学科构建，无法识别这种跨学科薄弱点（如学生数学统计题错误，可能也存在语文图表解读能力不足）；二是薄弱点定位易 “泛化”（如将 “一元二次方程求根公式应用错误” 归因为 “一元二次方程” 整体薄弱，未精准定位到 “求根公式记忆错误” 还是 “代入计算错误”），需细化知识点颗粒度（从 “章节级” 拆解为 “考点级”），但这需投入大量学科教师参与知识图谱标注（如将数学 “一元二次方程” 拆解为 “求根公式记忆、配方步骤、判别式应用”3 个细分考点），耗时且需持续更新（如教材版本变动导致考点调整）。</w:t>
      </w:r>
    </w:p>
    <w:p w14:paraId="0C680923">
      <w:pPr>
        <w:rPr>
          <w:rFonts w:hint="eastAsia"/>
          <w:lang w:val="en-US" w:eastAsia="zh-CN"/>
        </w:rPr>
      </w:pPr>
    </w:p>
    <w:p w14:paraId="1AAD23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三、基于项目文件的关键问题（聚焦技术落地、功能适配与风险管控）</w:t>
      </w:r>
    </w:p>
    <w:p w14:paraId="69C0E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单线上识别方向中，“支持文件上传分析” 的功能，能否兼容常见的作业文件格式（如 Word、PDF、拍照生成的长图）？若学生上传的 PDF 作业中包含 “文字 + 公式 + 插入的手绘图片” 混合内容，系统是否能精准分割不同类型内容，避免公式与图片重叠导致的识别错误？</w:t>
      </w:r>
    </w:p>
    <w:p w14:paraId="3CB66B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核心模型清单表中，LLaVA-13B 与商汤日日新 V6.5 均用于多模态识别，在实际开发中，两种模型的 “切换逻辑” 是什么？是根据题型自动选择（如数学公式用 LLaVA-13B、物理实验题用商汤 V6.5），还是需人工预设？切换过程中是否会增加系统响应时间，影响 “1 分钟内反馈” 的目标？</w:t>
      </w:r>
    </w:p>
    <w:p w14:paraId="3056E1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系统架构中 “批改层” 包含 “作业评分规则引擎（按步骤给分）”，该引擎的评分标准是否支持 “学科自定义”？例如数学解答题 “5 分题分 3 步”，语文作文 “按‘立意 + 结构 + 语言’分 3 类评分”，教师能否自主调整不同学科、不同题型的步骤分值与评分维度？调整后是否需要重新训练模型，还是仅通过规则配置即可实现？</w:t>
      </w:r>
    </w:p>
    <w:p w14:paraId="0A74B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实验性能验证中，批改速度达 105 份 / 分钟，该数据是基于 “单服务器（CPU i7-12700K，GPU RTX3080）” 的测试结果，若多所学校同时使用系统（如 10 所学校日均各提交 500 份作业），服务器是否会出现 “并发拥堵”？现有 “边缘计算 + 云端协同架构” 如何分配 “本地处理与云端推理” 的任务，确保并发场景下仍能维持 105 份 / 分钟的批改速度？</w:t>
      </w:r>
    </w:p>
    <w:p w14:paraId="7CE6C0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全程自动化方案的 “识别准确率不可控性增加”，具体可能体现在哪些场景？是否有量化的风险评估（如批量扫描批改时，准确率较单线上识别下降多少）？针对准确率下降的情况，系统是否有 “自动预警机制”（如当某批次作业错误识别率超过 8% 时，自动提醒教师人工复核），还是需依赖教师主动检查？</w:t>
      </w:r>
    </w:p>
    <w:p w14:paraId="0435CC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轻量化应用模块中，学生端 APP “图像上传流量压缩至 500KB 以内”，该压缩比例是否会影响作业图像的清晰度（尤其是公式符号、手绘细节）？例如压缩后 “∫” 符号是否会模糊成 “∑”，导致识别错误？能否在 “流量压缩” 与 “图像清晰度” 之间建立动态平衡机制（如根据网络状况自动调整压缩比例，4G 网络压缩至 500KB，WiFi 网络保留 1MB 高清图像）？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tserra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308AE0"/>
    <w:multiLevelType w:val="multilevel"/>
    <w:tmpl w:val="D1308A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A63EBC"/>
    <w:rsid w:val="0DA63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2025-10-13T15:39:00Z</dcterms:created>
  <dc:creator>心</dc:creator>
  <cp:lastModifiedBy>心</cp:lastModifiedBy>
  <dcterms:modified xsi:type="dcterms:W3CDTF">2025-10-13T15:57:01Z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E8CC1C9B088F4EDD8757ED75E4C3B608_11</vt:lpwstr>
  </property>
  <property fmtid="{D5CDD505-2E9C-101B-9397-08002B2CF9AE}" pid="4" name="KSOTemplateDocerSaveRecord">
    <vt:lpwstr>eyJoZGlkIjoiNzljZTgxNDkwN2YyNzM0ZGYzZjZlOTJlNjRjOWJkZDQiLCJ1c2VySWQiOiIyNzA5MDIyODAifQ==</vt:lpwstr>
  </property>
</Properties>
</file>