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DF226">
      <w:pPr>
        <w:pStyle w:val="13"/>
        <w:widowControl/>
      </w:pPr>
      <w:bookmarkStart w:id="0" w:name="_GoBack"/>
      <w:bookmarkEnd w:id="0"/>
      <w:r>
        <w:t>基于多模态大模型的智能作业批改系统项目计划书</w:t>
      </w:r>
    </w:p>
    <w:p w14:paraId="683FDD2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项目概述</w:t>
      </w:r>
    </w:p>
    <w:p w14:paraId="0A9DC4F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项目详情</w:t>
      </w:r>
    </w:p>
    <w:p w14:paraId="290D3F6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本项目精准聚焦我国教育领域作业批改环节长期存在的 “效率低下、精度不足、个性化缺失” 三大核心痛点，依托多模态大模型技术的突破性进展，打造一款覆盖全场景、高效精准、轻量化的智能作业批改系统。项目以 “技术赋能教育数字化转型，让每一份作业都产生个性化价值” 为核心理念，深度融合人工智能、计算机视觉、自然语言处理与教育知识图谱技术，构建适配中小学全学段、多科目的智能批改生态。</w:t>
      </w:r>
    </w:p>
    <w:p w14:paraId="0CDA01A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系统核心服务场景贯穿 “学生提交 - 系统批改 - 智能反馈 - 针对性复习 - 教师管控 - 家长监督” 全流程，支持文字类作业（如语文阅读理解、英语作文）、公式类作业（如数学方程求解、物理公式推导）、手绘类作业（如物理受力分析图、数学几何辅助线绘制）的全类型识别与批改，覆盖数学、物理、语文、英语、化学、生物等核心学科。在硬件适配方面，无需专用扫描设备或高配置终端，学生通过普通智能手机即可完成作业拍摄上传，老师通过电脑 Web 端实现批量管理，家长通过移动端随时查看学生学习报告，真正降低教育场景的技术使用门槛，助力城乡教育资源均衡配置。</w:t>
      </w:r>
    </w:p>
    <w:p w14:paraId="48ED193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项目的技术核心在于基于 LLaVA-13B 多模态大模型的微调优化与教育场景适配，通过构建 10 万 + 份标注作业数据集，实现文字识别准确率≥98%、公式识别准确率≥95%、手绘内容识别准确率≥92% 的行业领先指标，错误识别率控制在 4.2% 以内，远超传统人工批改 30% 的错误率与传统 OCR75% 的准确率。同时，系统创新性地引入 “按步骤给分” 机制与个人知识点图谱，不仅能精准定位主观题的错误步骤（如 “浮力公式代入错误，扣 2 分”），还能通过分析学生历史错题数据，自动标注薄弱模块（如 “一元二次方程求解错误率 40%”），生成针对性解析与关联例题，彻底解决学生 “盲目刷题” 的低效学习问题。</w:t>
      </w:r>
    </w:p>
    <w:p w14:paraId="20B1F2F9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项目组</w:t>
      </w:r>
    </w:p>
    <w:p w14:paraId="230B2A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项目团队以 “技术深耕、教育赋能、协同创新” 为核心价值观，由 12 名核心成员组成，均来自玉林师范学院计算机科学与技术、教育技术学、市场营销等相关专业，平均年龄 20.5 岁，其中本科生 11 名、研究生 1 名，具备扎实的技术研发、教育场景理解与市场运营能力。团队成员分工明确、优势互补，形成了 “技术研发组 + 教育场景组 + 市场运营组 + 客户服务组” 的高效协作架构：</w:t>
      </w:r>
    </w:p>
    <w:p w14:paraId="1D1337E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技术研发组（5 人）：由计算机科学与技术专业核心学生组成，负责人王煦登（本科二年级）具备丰富的 Python 开发与机器学习实践经验，曾参与校级人工智能创新项目，主导系统核心算法设计与模型微调；团队成员均熟练掌握 PyTorch、Vue3、Flutter 等技术栈，其中 2 人拥有 Web 开发实战经验，2 人专注于计算机视觉与多模态模型应用，1 人负责数据库设计与运维。</w:t>
      </w:r>
    </w:p>
    <w:p w14:paraId="331C9FAD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教育场景组（3 人）：由教育技术学专业学生组成，深耕 K12 教育场景需求，负责对接一线教师收集批改规则、知识点分类标准，参与教育知识图谱构建与错题解析撰写，确保技术落地符合教学实际需求。</w:t>
      </w:r>
    </w:p>
    <w:p w14:paraId="0BB907F4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市场运营组（2 人）：具备市场营销专业背景，负责项目市场调研、合作洽谈、品牌推广与用户运营，已完成 3 省 6 市的教育市场调研，积累了丰富的学校与机构资源。</w:t>
      </w:r>
    </w:p>
    <w:p w14:paraId="02F646F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客户服务组（2 人）：负责用户咨询、问题反馈收集、试点学校对接等工作，建立了完善的用户反馈闭环机制，确保产品迭代贴合用户需求。</w:t>
      </w:r>
    </w:p>
    <w:p w14:paraId="719BC13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团队聘请 2 名资深指导教师提供全程专业支持：彭义春教授深耕人工智能与教育信息化领域 15 年，主持省级科研项目 3 项，发表相关核心论文 10 余篇，具备丰富的多模态模型应用与技术研发指导经验，负责项目技术路线规划与核心算法优化；罗国星副教授拥有 12 年教育数字化实践经验，曾主导多所中小学智慧校园建设项目，熟悉教育行业政策与教学场景需求，负责项目场景落地与合作资源对接。此外，团队还邀请了 3 名一线中小学教师（数学、物理、语文学科各 1 名）作为校外顾问，为系统批改规则制定、知识点图谱构建提供实战指导。</w:t>
      </w:r>
    </w:p>
    <w:p w14:paraId="2279873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项目功能及特点</w:t>
      </w:r>
    </w:p>
    <w:p w14:paraId="5ACC436D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核心功能（基于五层架构的全流程服务）</w:t>
      </w:r>
    </w:p>
    <w:p w14:paraId="5912B7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（1）采集层：支持多终端作业采集与格式统一，学生通过 APP 拍摄作业（支持多角度拍摄、自动裁剪），老师通过 Web 端批量上传作业或标准答案，系统自动将图像压缩至 500KB 以内并统一转换为 JPG 格式，节省流量与存储成本；适配 Android/iOS 系统及内存≥2GB 的低配置手机，覆盖广泛用户群体。（2）预处理层：通过 OpenCV 实现图像倾斜矫正、模糊修复，利用 Mathpix 精准提取公式内容，基于语义分割模型定位手绘区域（如受力分析图、几何图形），将作业内容拆分为 “文字块 + 公式块 + 手绘块”，为精准批改奠定基础。（3）批改层：基于微调后的 LLaVA-13B 多模态大模型，对比标准答案完成内容识别与错误判定；客观题（选择、填空）直接匹配答案，正确率≥99%；主观题（解答、论述）按预设步骤分值给分，精准标注错误节点与扣分原因；支持教师手动调整分数与解析，兼顾智能效率与人工干预灵活性。（4）反馈层：自动生成结构化错题解析（含正确步骤、知识点链接、易错点提醒），基于学生错题记录构建个人知识点图谱，生成知识点掌握雷达图与薄弱模块报告；关联教育知识图谱中的同类例题与拓展练习，为学生提供个性化复习资源。（5）应用层：</w:t>
      </w:r>
    </w:p>
    <w:p w14:paraId="797C4609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学生端：作业拍摄上传、错题本分类管理、错题重做、解析查看、关联例题练习、学习进度跟踪；</w:t>
      </w:r>
    </w:p>
    <w:p w14:paraId="76A260F7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老师端：批量批改管理、班级错题统计、薄弱知识点分析、成绩单导出、标准答案批量上传、手动批改调整；</w:t>
      </w:r>
    </w:p>
    <w:p w14:paraId="12450C10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家长端：学生学习报告查看、薄弱知识点同步、复习进度监督、与教师留言沟通。</w:t>
      </w:r>
    </w:p>
    <w:p w14:paraId="12A50203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核心特点</w:t>
      </w:r>
    </w:p>
    <w:p w14:paraId="2B850D4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（1）多模态全场景覆盖：突破传统作业批改系统仅能处理文字题的局限，首次实现 “文字 + 公式 + 手绘” 三类核心作业类型的全覆盖，适配数学、物理等理科公式推导与图形分析题，以及语文、英语等文科文字类作业，满足 K12 阶段多学科批改需求，场景适配性行业领先。（2）高效精准双保障：批改速度达 105 份 / 分钟，较人工批改（1.1 份 / 分钟）提升 90 倍以上，一位老师日均批改 300 份作业的时间从 4.5 小时缩短至 3 分钟，大幅节省教师备课与批改时间；错误识别率仅 4.2%，主观题步骤扣分精准度≥91.5%，远超人工批改的经验判断误差（错误率 30%）。（3）个性化闭环反馈：构建 “批改 - 解析 - 定位 - 复习 - 巩固” 的全闭环学习体系，通过个人知识点图谱动态跟踪学生学习情况，精准定位薄弱模块，推送针对性解析与练习，避免学生重复刷题，提升学习效率 30% 以上；支持教师基于班级统计数据开展针对性教学，实现 “以学定教”。（4）轻量化易部署推广：无需专用硬件设备与复杂安装流程，学生、教师、家长通过常用终端即可快速上手；系统适配低配置设备与网络环境，图像压缩技术降低流量消耗，尤其适合县域中小学、农村地区学校推广，助力教育资源均衡化。（5）数据安全合规：严格遵循《个人信息保护法》《教育数据管理办法》，采用数据加密存储、访问权限分级控制、匿名化处理等技术手段，保障学生个人信息与学习数据安全；建立数据安全审计机制，定期开展风险评估，杜绝数据泄露风险。</w:t>
      </w:r>
    </w:p>
    <w:p w14:paraId="3B1EE34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市场分析</w:t>
      </w:r>
    </w:p>
    <w:p w14:paraId="2B191273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市场背景</w:t>
      </w:r>
    </w:p>
    <w:p w14:paraId="32C149CC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行业痛点突出，需求刚性强烈</w:t>
      </w:r>
    </w:p>
    <w:p w14:paraId="3EBB6E0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我国 K12 教育阶段在校生规模超 2 亿人，作业批改作为教学核心环节，长期面临 “效率、精度、个性化” 三大瓶颈：据教育部调研数据显示，中小学教师日均用于作业批改的时间达 4.5-6 小时，占工作总时长的 40% 以上，远超备课与授课时间占比；人工批改对理科公式、手绘解题步骤的识别准确率不足 70%，易出现误判、漏判，尤其在农村地区与大班额班级，批改质量难以保障；个性化辅导覆盖率仅 15%，教师难以精准掌握每个学生的薄弱点，导致学生陷入 “重复刷题却难提分” 的低效学习困境。这些痛点长期困扰教师、学生与家长，形成了对智能作业批改工具的刚性需求。</w:t>
      </w:r>
    </w:p>
    <w:p w14:paraId="7FA157FB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政策红利持续释放，教育数字化转型加速</w:t>
      </w:r>
    </w:p>
    <w:p w14:paraId="6A99D24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国家高度重视教育数字化发展，2023 年印发的《教育数字化战略行动方案》明确提出 “推动人工智能、大数据等技术与教育教学深度融合，开发智能教学辅助工具，减轻教师负担，提升教育质量”；2024 年教育部进一步出台《中小学教育数字化转型试点工作方案》，支持各地学校引入智能教学工具，推进教育数字化转型。政策层面的持续支持为智能作业批改赛道提供了良好的发展环境，各地教育部门、学校对数字化教学工具的采购需求持续增长。</w:t>
      </w:r>
    </w:p>
    <w:p w14:paraId="613F418A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市场规模持续扩容，赛道潜力巨大</w:t>
      </w:r>
    </w:p>
    <w:p w14:paraId="5BC57D7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随着教育数字化转型的深入推进，我国教育信息化市场规模呈现稳步增长态势。据艾瑞咨询数据显示，2023 年我国教育信息化市场规模达 4270 亿元，预计 2025 年将突破 5500 亿元，年复合增长率超 12%。其中，智能教学辅助工具作为核心细分赛道，占比约 15%，预计 2025 年市场规模将达 825 亿元。智能作业批改作为智能教学辅助工具的核心应用场景，目前渗透率不足 10%，随着学校数字化投入增加与教师减负需求升级，市场增长空间广阔，尤其是县域中小学、教育培训机构等下沉市场，需求尚未得到充分满足。</w:t>
      </w:r>
    </w:p>
    <w:p w14:paraId="028465BD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市场定位</w:t>
      </w:r>
    </w:p>
    <w:p w14:paraId="1094B61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品牌定位</w:t>
      </w:r>
    </w:p>
    <w:p w14:paraId="78F2A1D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打造 “K12 教育场景下高效、精准、轻量化的智能作业批改标杆品牌”，以 “技术赋能教育公平，让每个学生都能获得个性化辅导” 为品牌使命，构建 “批改 - 反馈 - 复习 - 教研” 全闭环教育服务生态，成为中小学教育数字化转型的核心合作伙伴。</w:t>
      </w:r>
    </w:p>
    <w:p w14:paraId="63952904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用户定位</w:t>
      </w:r>
    </w:p>
    <w:p w14:paraId="3E2CC03D">
      <w:pPr>
        <w:pStyle w:val="5"/>
        <w:widowControl/>
      </w:pPr>
      <w:r>
        <w:t>（1）核心用户：</w:t>
      </w:r>
    </w:p>
    <w:p w14:paraId="75F9E192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B 端用户：中小学学校（重点覆盖县域中小学、农村学校、大班额学校）、教育培训机构（K12 学科辅导机构、课后服务机构）；</w:t>
      </w:r>
    </w:p>
    <w:p w14:paraId="049BE33C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C 端用户：K12 阶段学生（小学 3 年级 - 高中 3 年级）、学生家长（关注孩子学习情况、需要监督复习的家长）、中小学教师（数学、物理、语文、英语等核心学科教师）。（2）用户特征：</w:t>
      </w:r>
    </w:p>
    <w:p w14:paraId="769FF095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学校用户：注重工具的实用性、易部署性与成本控制，需求集中在批量批改、班级学情分析、减轻教师负担；</w:t>
      </w:r>
    </w:p>
    <w:p w14:paraId="1B290D7C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教师用户：关注批改精度、效率提升、学情统计功能，需要灵活的人工干预权限；</w:t>
      </w:r>
    </w:p>
    <w:p w14:paraId="14EC10F7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学生用户：需要精准的错题解析、个性化复习资源，操作简单便捷；</w:t>
      </w:r>
    </w:p>
    <w:p w14:paraId="6609A590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家长用户：关注孩子薄弱点反馈、复习进度跟踪，需要清晰易懂的学习报告。</w:t>
      </w:r>
    </w:p>
    <w:p w14:paraId="24A65877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价格定位</w:t>
      </w:r>
    </w:p>
    <w:p w14:paraId="1A33FFF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采用 “B 端收费 + C 端基础免费 + 增值服务收费” 的混合定价策略，兼顾市场竞争力与盈利可持续性：（1）B 端收费（学校 / 机构）：</w:t>
      </w:r>
    </w:p>
    <w:p w14:paraId="0B1CCA4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学校合作：按年级规模年费收费，小学阶段 800-1500 元 / 年级 / 年，初中阶段 1200-2000 元 / 年级 / 年，高中阶段 1500-3000 元 / 年级 / 年；针对农村学校、贫困地区学校推出 50% 费用减免政策，助力教育公平；</w:t>
      </w:r>
    </w:p>
    <w:p w14:paraId="6672C4F3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机构合作：按学员规模收费，100 人以下机构 3000 元 / 年，100-500 人机构 8000 元 / 年，500 人以上机构 15000 元 / 年；支持技术嵌入合作，按流水分成 10%-15%。（2）C 端收费（学生 / 家长）：</w:t>
      </w:r>
    </w:p>
    <w:p w14:paraId="1E9471B0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基础功能：作业批改、错题本、基础解析免费；</w:t>
      </w:r>
    </w:p>
    <w:p w14:paraId="71A8D95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增值服务：深度解析（含拓展思路）、个性化学习计划、关联例题库、知识点微课，按学期订阅 30-50 元 / 学期，按年订阅 80-120 元 / 年；</w:t>
      </w:r>
    </w:p>
    <w:p w14:paraId="57B820C5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家长端：基础学习报告免费，完整版报告（含薄弱点趋势分析、复习建议）20 元 / 月，60 元 / 半年，100 元 / 年。</w:t>
      </w:r>
    </w:p>
    <w:p w14:paraId="72314E4F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形象定位</w:t>
      </w:r>
    </w:p>
    <w:p w14:paraId="6203D2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塑造 “专业、可靠、易用、普惠” 的品牌形象：专业体现在核心技术指标行业领先、教育场景适配精准；可靠体现在数据安全有保障、系统稳定运行、服务响应及时；易用体现在操作流程简单、多终端适配、无需专业培训；普惠体现在价格亲民、覆盖城乡学校、助力教育资源均衡。</w:t>
      </w:r>
    </w:p>
    <w:p w14:paraId="19EDE46E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市场调研分析</w:t>
      </w:r>
    </w:p>
    <w:p w14:paraId="73F57AC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为精准把握市场需求，项目团队于 2024 年 3-5 月开展了为期 3 个月的市场调研，覆盖广西、广东、湖南 3 省 6 市 12 县的 30 所中小学（含城市学校 8 所、县域学校 12 所、农村学校 10 所）、20 家教育培训机构、200 名一线教师、500 名学生及 300 名家长，采用问卷调研、深度访谈、实地走访等多种方式，形成了详实的调研报告：</w:t>
      </w:r>
    </w:p>
    <w:p w14:paraId="27BDCB1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用户需求调研结果</w:t>
      </w:r>
    </w:p>
    <w:p w14:paraId="1BBB7A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（1）教师需求：92% 的教师认为作业批改占用过多时间，希望通过智能工具将批改时间缩短 50% 以上；88% 的理科教师表示公式与手绘题批改难度大，急需精准识别工具；76% 的教师需要班级学情统计功能，以便开展针对性教学；68% 的教师要求智能批改工具保留人工干预权限。（2）学生需求：85% 的学生反馈错题解析不清晰是复习的主要障碍；79% 的学生希望获得个性化练习推荐，避免重复刷题；72% 的学生偏好手机端操作，要求界面简洁、使用便捷。（3）家长需求：89% 的家长希望及时了解孩子的薄弱知识点；75% 的家长需要专业的复习建议，以便辅助孩子学习；65% 的家长关注工具的性价比与数据安全性。（4）学校需求：90% 的学校重视工具的易部署性，无需额外硬件投入；83% 的学校关注成本控制，倾向选择性价比高的产品；78% 的县域与农村学校希望获得政策支持与费用减免。</w:t>
      </w:r>
    </w:p>
    <w:p w14:paraId="215B399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竞争对手分析</w:t>
      </w:r>
    </w:p>
    <w:p w14:paraId="70CB5CA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目前市场上的智能作业批改产品主要分为三类：头部科技公司产品（如作业帮、猿辅导）、传统教育信息化企业产品、新兴创业公司产品。通过对比分析，各类型产品存在明显短板：（1）头部科技公司产品：优势在于品牌知名度高、用户基数大，劣势是侧重 C 端用户，B 端学校适配性不足，多模态识别能力有限（手绘题识别准确率不足 80%），收费较高（C 端增值服务年订阅费超 200 元）；（2）传统教育信息化企业产品：优势在于 B 端渠道资源丰富，劣势是技术迭代慢，多依赖传统 OCR 技术，错误率高（≥15%），个性化反馈能力弱；（3）新兴创业公司产品：优势在于技术聚焦，部分产品在单一科目识别上表现较好，劣势是场景覆盖不全（多仅支持文字题），部署成本高，缺乏规模化推广能力。</w:t>
      </w:r>
    </w:p>
    <w:p w14:paraId="6DA806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本项目通过 “多模态全场景覆盖、轻量化部署、高性价比、B+C 端协同” 的核心优势，精准弥补了现有产品的短板，在县域学校、农村学校等下沉市场具备更强的竞争力。</w:t>
      </w:r>
    </w:p>
    <w:p w14:paraId="224E9012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SWOT 分析</w:t>
      </w:r>
    </w:p>
    <w:p w14:paraId="52F039B8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优势（S）</w:t>
      </w:r>
    </w:p>
    <w:p w14:paraId="14088E8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（1）技术优势：核心技术指标行业领先，错误识别率 4.2%，批改速度 105 份 / 分钟，多模态识别能力覆盖文字、公式、手绘，远超竞争对手；基于 LLaVA-13B 微调的模型具备较强的泛化能力，可快速适配新增科目与题型；（2）场景优势：深度适配中小学教学实际，按步骤给分、班级学情统计、个性化闭环反馈等功能精准匹配教师、学生、家长的核心需求；轻量化设计无需专用硬件，适配低配置设备与网络环境，适合县域、农村学校推广；（3）团队优势：核心成员兼具技术研发与教育场景理解能力，指导教师经验丰富，技术落地与场景适配效率高；团队执行力强，已完成产品原型开发与试点验证，具备快速迭代能力；（4）成本优势：采用开源技术栈与轻量化架构，研发与运营成本低于头部科技公司；定价策略亲民，B 端收费仅为传统教育信息化产品的 60%-70%，C 端增值服务价格低于头部产品 50% 以上，性价比优势明显。</w:t>
      </w:r>
    </w:p>
    <w:p w14:paraId="0BE2AB43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劣势（W）</w:t>
      </w:r>
    </w:p>
    <w:p w14:paraId="79D6545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（1）数据积累：相较于头部企业，初期用户数据积累不足（目前标注数据集 10 万份），需通过试点扩大数据集规模，进一步优化模型泛化能力；（2）品牌认知：作为新进入者，品牌知名度较低，B 端学校合作与 C 端用户获取需投入一定的推广资源；（3）渠道资源：B 端学校渠道资源有限，尤其是跨省合作需要逐步积累；C 端线上推广缺乏成熟的运营体系，用户转化率有待提升；（4）盈利初期：初期研发与推广投入较大（预计 200 万元），盈利周期约 6-8 个月，短期内现金流压力较大。</w:t>
      </w:r>
    </w:p>
    <w:p w14:paraId="4AC83301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机会（O）</w:t>
      </w:r>
    </w:p>
    <w:p w14:paraId="54FCBAD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（1）政策支持：国家持续推进教育数字化转型，多地教育部门出台智能教学工具采购补贴政策，为项目推广提供政策红利；（2）市场缺口：下沉市场（县域、农村学校）智能作业批改工具渗透率不足 5%，需求尚未得到满足，市场增长空间广阔；（3）技术迭代：多模态大模型技术持续发展，模型训练成本下降，为产品功能优化（如新增学科、提升识别精度）提供技术支撑；（4）合作机遇：各地学校课后服务、教育培训机构数字化转型需求强烈，为项目提供了大量的合作机会；高校创新创业支持政策完善，可获得赛事奖金、创业补贴等资源。</w:t>
      </w:r>
    </w:p>
    <w:p w14:paraId="4EDD8DE1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威胁（T）</w:t>
      </w:r>
    </w:p>
    <w:p w14:paraId="398C856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（1）市场竞争：头部科技公司加速布局 B 端市场，传统教育信息化企业加大技术投入，新兴创业公司持续涌现，市场竞争将逐步加剧；（2）政策风险：教育行业监管政策变化（如数据合规、校外培训监管）可能影响产品推广与运营；教育数据安全法规日益严格，对数据存储与使用提出更高要求；（3）技术替代：多模态大模型技术快速迭代，若未能及时跟进最新技术趋势，可能面临技术落后风险；（4）用户信任：部分教师对智能批改工具的精度存在疑虑，家长关注数据安全与隐私保护，用户信任建立需要一定时间。</w:t>
      </w:r>
    </w:p>
    <w:p w14:paraId="4479E6B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商业模式</w:t>
      </w:r>
    </w:p>
    <w:p w14:paraId="60257B54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项目营销策略</w:t>
      </w:r>
    </w:p>
    <w:p w14:paraId="4B5BFA34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教育市场合作策略（B 端核心）</w:t>
      </w:r>
    </w:p>
    <w:p w14:paraId="6C9416F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（1）试点先行，案例驱动：与地方教育局合作，在每个省份选取 3-5 个试点县，每个县选取 3-5 所学校开展为期 3 个月的免费试点；试点期间提供全程技术支持与用户培训，收集使用反馈并优化产品；试点结束后形成详细的试点报告（含效率提升数据、教师反馈、学生成绩变化），作为后续推广的核心案例；（2）定制化服务，提升粘性：为合作学校提供定制化适配服务，如对接校内教务系统、定制班级统计报表、新增特色题型批改功能等；定期为学校提供学情分析报告与教学建议，协助教师开展针对性教学，提升学校合作粘性；（3）政策借力，资源整合：积极申报各地教育数字化转型试点项目，争取政策补贴与推广支持；与高校教育学院、教育科研机构合作，开展智能批改技术应用研究，提升项目专业性与公信力；（4）渠道拓展，层级推进：建立 “省级代理商 + 县级合作伙伴” 的渠道体系，省级代理商负责区域内学校资源对接与政策协调，县级合作伙伴负责学校落地、用户培训与售后服务；优先覆盖广西、广东、湖南三省，逐步向周边省份拓展。</w:t>
      </w:r>
    </w:p>
    <w:p w14:paraId="1380450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中小型企业市场拓展策略</w:t>
      </w:r>
    </w:p>
    <w:p w14:paraId="321231F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（1）战略合作，资源互补：与 K12 学科辅导机构、课后服务机构达成战略合作，将智能作业批改系统嵌入其现有教学产品中，为机构提供高效批改工具，提升教学效率；按机构学员规模收取技术服务费或流水分成（分成比例 10%-15%）；（2）优惠套餐，降低门槛：为中小型培训机构（100 人以下）推出 “首年半价” 优惠套餐，提供免费试用 1 个月、免费培训、快速适配等服务，降低合作门槛；针对连锁培训机构推出 “多校区联动套餐”，按校区数量给予 10%-20% 折扣；（3）增值服务，提升收益：为合作机构提供定制化学习报告、学员学情分析、教学效果评估等增值服务，按服务类型额外收费（如学情分析报告 500 元 / 月 / 校区）；（4）联合推广，共赢发展：与机构联合开展线上线下推广活动（如 “智能批改体验课”），吸引 C 端用户；共享用户资源，机构为项目推荐 C 端用户，项目为机构提供流量扶持与品牌曝光。</w:t>
      </w:r>
    </w:p>
    <w:p w14:paraId="7D5AF31D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线上推广策略（C 端核心）</w:t>
      </w:r>
    </w:p>
    <w:p w14:paraId="757047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（1）内容营销，精准触达：在抖音、小红书、微信视频号、B 站等平台发布产品使用教程（如 “30 秒完成作业批改”）、教师使用反馈、学生学习案例（如 “薄弱点突破后成绩提升 20 分”）等内容，吸引教师、学生、家长关注；与教育类 KOL（如中小学教师博主、教育博主）合作，开展产品试用与推荐，单条视频曝光量目标 10 万 +；（2）社群运营，用户沉淀：建立教师交流群、家长交流群，定期分享教学技巧、学习方法、产品更新动态；开展 “邀请有礼” 活动，用户邀请好友注册并开通增值服务，双方各获得 1 个月免费订阅时长；收集用户反馈，及时响应问题，提升用户粘性；（3）搜索引擎优化，提升曝光：优化百度、搜狗等搜索引擎关键词（如 “智能作业批改系统”“中小学作业自动批改工具”），确保用户搜索相关关键词时产品排名靠前；在教育类网站（如中小学教育资源网）、论坛（如家长帮）发布产品介绍与试用链接，扩大曝光渠道；（4）校园推广，精准获客：与高校周边中小学合作，开展 “校园体验日” 活动，现场演示产品功能，引导学生、教师注册使用；通过高校志愿者团队，向中小学发放产品宣传手册与试用邀请码，精准触达目标用户。</w:t>
      </w:r>
    </w:p>
    <w:p w14:paraId="4D1ECB71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项目盈利模式</w:t>
      </w:r>
    </w:p>
    <w:p w14:paraId="401A82E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项目采用 “多元化盈利模式”，兼顾短期现金流与长期可持续发展，核心盈利来源包括以下四类：</w:t>
      </w:r>
    </w:p>
    <w:p w14:paraId="48149AD0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B 端服务收费（核心盈利来源）</w:t>
      </w:r>
    </w:p>
    <w:p w14:paraId="0D8D7AD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（1）学校年度服务费：按年级规模收费，预计初期（半年）合作学校 30 所，覆盖 150 个年级，平均收费 1500 元 / 年级 / 年，实现营收 22.5 万元；中期（一年）合作学校 300 所，覆盖 1500 个年级，实现营收 225 万元；后期（一年）合作学校 1000 所，覆盖 5000 个年级，实现营收 750 万元；（2）机构技术服务费 / 分成：预计中期合作教育机构 50 家，其中 30 家按年费收费（平均 8000 元 / 家），20 家按流水分成（平均分成收入 5 万元 / 家），实现营收 124 万元；后期合作机构 200 家，其中 100 家按年费收费（平均 1.2 万元 / 家），100 家按流水分成（平均分成收入 8 万元 / 家），实现营收 920 万元；（3）定制化服务收费：为学校、机构提供定制化适配、系统对接、专属功能开发等服务，按项目收费（平均 5 万元 / 项目），预计中期完成 20 个定制项目，实现营收 100 万元；后期完成 50 个定制项目，实现营收 250 万元。</w:t>
      </w:r>
    </w:p>
    <w:p w14:paraId="54C05F17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C 端增值服务收费</w:t>
      </w:r>
    </w:p>
    <w:p w14:paraId="08FE45C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（1）学生端增值服务：预计初期 C 端用户 1 万人，增值服务转化率 10%，平均年订阅费 100 元，实现营收 10 万元；中期用户 200 万人，转化率 15%，实现营收 3000 万元；后期用户 500 万人，转化率 20%，实现营收 1 亿元；（2）家长端报告订阅：预计中期家长用户 50 万人，订阅转化率 8%，平均年订阅费 100 元，实现营收 400 万元；后期家长用户 120 万人，订阅转化率 10%，实现营收 1200 万元。</w:t>
      </w:r>
    </w:p>
    <w:p w14:paraId="286D057E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广告合作收入</w:t>
      </w:r>
    </w:p>
    <w:p w14:paraId="79A388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在产品非核心功能区域（如 APP 首页轮播图、学习报告底部）接入教育类广告（教辅资料、线上课程、教育硬件等），确保广告内容与用户需求高度相关，不影响用户体验；按点击量（CPM）或曝光量（CPC）收费，预计中期实现广告收入 100 万元，后期实现广告收入 300 万元。</w:t>
      </w:r>
    </w:p>
    <w:p w14:paraId="7BCB146E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数据服务收入</w:t>
      </w:r>
    </w:p>
    <w:p w14:paraId="5C88AC7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在严格遵守数据安全与隐私保护法规的前提下，对学生学习数据进行匿名化、聚合化处理，为教育科研机构、教辅出版社、教育政策制定部门提供数据洞察服务（如知识点掌握趋势分析、题型难度分布分析），按服务周期收费（平均 20 万元 / 年 / 客户），预计后期合作 10 家客户，实现营收 200 万元。</w:t>
      </w:r>
    </w:p>
    <w:p w14:paraId="34240BBB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收费优惠及付款方式</w:t>
      </w:r>
    </w:p>
    <w:p w14:paraId="6B84BBF6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收费优惠政策</w:t>
      </w:r>
    </w:p>
    <w:p w14:paraId="6086926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（1）新客户优惠：新合作学校首年享受 8 折优惠，老客户续费时根据合作年限给予阶梯折扣（合作 2 年 9 折、3 年 8 折、5 年以上 7 折）；新注册 C 端用户可免费试用增值服务 7 天，首次开通年订阅服务享受 8 折优惠；（2）批量合作优惠：学校一次性合作 3 个及以上年级，额外享受 5% 折扣；机构一次性合作 3 个及以上校区，额外享受 10% 折扣；C 端用户邀请 3 名及以上好友注册，可获得 3 个月免费增值服务；（3）公益优惠：对农村学校、贫困地区学校、留守儿童比例超 50% 的学校，给予 50%-100% 费用减免；为家庭经济困难学生提供免费增值服务名额（每年 1 万个），践行教育公益。</w:t>
      </w:r>
    </w:p>
    <w:p w14:paraId="660DB007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付款方式</w:t>
      </w:r>
    </w:p>
    <w:p w14:paraId="0D82043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（1）B 端客户：支持银行转账、对公支付宝、对公微信付款；学校客户可分季度 / 半年度付款（首付 50%，剩余款项按季度结清）；机构客户可按月 / 季度付款，年付客户享受 8 折优惠；（2）C 端用户：支持微信支付、支付宝支付、银行卡支付；提供月付、季付、年付三种选择，年付用户享受 8 折优惠，季付用户享受 9 折优惠；支持自动续费功能，自动续费用户额外享受 5% 折扣。</w:t>
      </w:r>
    </w:p>
    <w:p w14:paraId="3D38840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项目发展规划</w:t>
      </w:r>
    </w:p>
    <w:p w14:paraId="20EE74CE">
      <w:pPr>
        <w:pStyle w:val="3"/>
        <w:widowControl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项目规划总目标</w:t>
      </w:r>
    </w:p>
    <w:p w14:paraId="7DFBA4B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在 3 年内成为国内 K12 智能作业批改领域的领军企业，构建 “技术研发 - 产品运营 - 市场推广 - 生态构建” 的完整产业链，实现以下核心目标：</w:t>
      </w:r>
    </w:p>
    <w:p w14:paraId="5BE3DBE4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市场目标：累计服务学校 1000 所（覆盖全国 20 个省份）、教育机构 200 家，C 端用户突破 500 万（学生用户 380 万、家长用户 120 万），市场占有率进入行业前三；</w:t>
      </w:r>
    </w:p>
    <w:p w14:paraId="4C7F2FB3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技术目标：完成 5 次产品重大迭代，新增 3 个学科（历史、地理、政治），模型识别准确率提升至 98% 以上，错误率控制在 2% 以内，构建涵盖 2000 + 知识点的教育知识图谱；</w:t>
      </w:r>
    </w:p>
    <w:p w14:paraId="3228FB33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营收目标：3 年累计营收突破 2 亿元，其中第一年营收 1500 万元，第二年营收 5000 万元，第三年营收 1.35 亿元；实现净利润 5000 万元，净利率达 25%；</w:t>
      </w:r>
    </w:p>
    <w:p w14:paraId="655CD75A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生态目标：构建 “智能批改 - 个性化学习 - 教研支持 - 教育数据服务” 全闭环生态，与 10 家以上教育机构、5 家以上高校建立长期战略合作关系，形成技术壁垒与品牌优势。</w:t>
      </w:r>
    </w:p>
    <w:p w14:paraId="6DC705DB">
      <w:pPr>
        <w:pStyle w:val="3"/>
        <w:widowControl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项目规划阶段性目标</w:t>
      </w:r>
    </w:p>
    <w:p w14:paraId="3F08BFBD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初期（半年，产品打磨与试点推广阶段）</w:t>
      </w:r>
    </w:p>
    <w:p w14:paraId="4C5930F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（1）技术研发：完成系统 V1.0 版本优化迭代，实现数学、物理、语文、英语 4 个核心科目的全覆盖；优化多模态识别模型，文字识别准确率≥98%、公式识别准确率≥95%、手绘识别准确率≥92%；完成教育知识图谱初步构建（覆盖 500 + 核心知识点）；（2）市场推广：在广西、广东、湖南 3 省开展试点，合作学校 30 所（县域学校 20 所、城市学校 10 所）、教育机构 5 家；C 端用户注册量突破 1 万人，增值服务转化率 10%；（3）团队建设：新增技术研发人员 3 名、市场推广人员 2 名，完善 “技术 - 市场 - 运营 - 服务” 团队架构；完成核心成员培训（技术培训、教育场景培训、市场运营培训）；（4）营收目标：实现营收 50 万元，其中 B 端服务收入 22.5 万元，C 端增值服务收入 10 万元，试点补贴与赛事奖金 17.5 万元；（5）关键里程碑：完成 3 所试点学校的效果验证（效率提升 62% 以上），形成标准化推广案例；申请软件著作权 2 项；与 1 个省级教育局达成战略合作意向。</w:t>
      </w:r>
    </w:p>
    <w:p w14:paraId="2D4C05EA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中期（一年，市场扩张与营收增长阶段）</w:t>
      </w:r>
    </w:p>
    <w:p w14:paraId="738DC85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（1）技术研发：完成系统 V2.0 版本升级，新增化学、生物、历史 3 个科目；优化个性化推荐算法，薄弱点定位准确率提升至 95% 以上；开发班级学情分析模块、教师教研支持模块；（2）市场推广：将合作学校扩展至 300 所（覆盖 5 省 30 市）、教育机构 50 家；C 端用户注册量突破 200 万人，增值服务转化率 15%；建立 5 个省级代理商、30 个县级合作伙伴的渠道体系；（3）团队建设：团队规模扩展至 30 人，其中技术研发 15 人、市场运营 8 人、客户服务 7 人；设立产品经理、渠道经理、客户成功经理等岗位；与 2 所高校建立产学研合作基地；（4）营收目标：实现营收 5000 万元，其中 B 端服务收入 449 万元，C 端增值服务收入 3400 万元，广告收入 100 万元，定制化服务收入 100 万元；（5）关键里程碑：市场占有率进入行业前 10；完成 A 轮融资 500 万元；申请发明专利 3 项、软件著作权 5 项；发布《K12 智能作业批改行业白皮书》。</w:t>
      </w:r>
    </w:p>
    <w:p w14:paraId="5E57DE9F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后期（一年，生态构建与规模化盈利阶段）</w:t>
      </w:r>
    </w:p>
    <w:p w14:paraId="4CDE5E6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（1）技术研发：完成系统 V3.0 版本迭代，新增地理、政治 2 个科目，实现 9 大学科全覆盖；优化多模态大模型，错误识别率控制在 2% 以内；构建 “批改 - 学习 - 教研 - 数据服务” 全生态技术架构；（2）市场推广：合作学校突破 1000 所（覆盖 20 省 100 市）、教育机构 200 家；C 端用户注册量突破 500 万人，增值服务转化率 20%；拓展海外华人教育市场（东南亚地区），用户突破 10 万人；（3）团队建设：团队规模扩展至 80 人，设立分公司 2 家（华南、华东地区）；建立核心人才股权激励机制，核心成员持股比例达 10%；（4）营收目标：实现营收 1.35 亿元，其中 B 端服务收入 1920 万元，C 端增值服务收入 1.12 亿元，广告收入 300 万元，数据服务收入 200 万元；净利润达 3375 万元；（5）关键里程碑：市场占有率进入行业前三；完成 B 轮融资 2000 万元；与 5 家头部教育机构达成战略生态合作；启动上市筹备工作。</w:t>
      </w:r>
    </w:p>
    <w:p w14:paraId="4B63673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风险预测及应对措施</w:t>
      </w:r>
    </w:p>
    <w:p w14:paraId="7ABA7ADA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外部风险</w:t>
      </w:r>
    </w:p>
    <w:p w14:paraId="703FE463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政策风险</w:t>
      </w:r>
    </w:p>
    <w:p w14:paraId="13DAED7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（1）风险描述：教育行业监管政策变化，如对智能教学工具的准入标准提高、数据安全与隐私保护法规进一步收紧、校外培训监管政策调整等，可能影响产品推广与运营；（2）应对措施：</w:t>
      </w:r>
    </w:p>
    <w:p w14:paraId="56BA5E87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建立政策研究小组，由指导教师牵头，定期跟踪教育部、地方教育局的政策动态，解读政策要求，确保产品研发、数据使用、市场推广全程合规；</w:t>
      </w:r>
    </w:p>
    <w:p w14:paraId="61C4143B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加强与地方教育部门的沟通合作，积极参与教育数字化试点项目，争取政策支持与指导，将产品纳入当地教育信息化推荐目录；</w:t>
      </w:r>
    </w:p>
    <w:p w14:paraId="007F62DB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严格遵守《个人信息保护法》《教育数据管理办法》等法规，建立数据安全合规体系，定期开展合规审计，确保学生数据收集、存储、使用全流程合规。</w:t>
      </w:r>
    </w:p>
    <w:p w14:paraId="0B2C8D17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市场竞争风险</w:t>
      </w:r>
    </w:p>
    <w:p w14:paraId="461B59A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（1）风险描述：头部科技公司（如作业帮、猿辅导）加速布局 B 端市场，传统教育信息化企业加大技术投入，新兴创业公司持续涌现，市场竞争加剧，可能导致客户流失、市场份额下降、盈利空间压缩；（2）应对措施：</w:t>
      </w:r>
    </w:p>
    <w:p w14:paraId="574204B1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持续加大研发投入，保持技术领先性，每季度进行一次产品版本迭代，重点优化多模态识别精度、个性化反馈能力、轻量化部署体验，构建技术壁垒；</w:t>
      </w:r>
    </w:p>
    <w:p w14:paraId="44C42E4C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聚焦下沉市场（县域、农村学校），打造差异化竞争优势，通过轻量化设计、高性价比、公益优惠等策略，巩固下沉市场份额；</w:t>
      </w:r>
    </w:p>
    <w:p w14:paraId="6D8A1C7B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加强品牌建设，通过试点案例、用户口碑、行业白皮书等提升品牌知名度与公信力；建立客户忠诚度体系，为老客户提供专属服务与优惠，提升客户粘性；</w:t>
      </w:r>
    </w:p>
    <w:p w14:paraId="403C5157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开展战略合作，与高校、教育科研机构、教育出版社建立生态合作关系，整合资源，形成 “技术 + 内容 + 渠道” 的协同优势，抵御市场竞争。</w:t>
      </w:r>
    </w:p>
    <w:p w14:paraId="37A23D70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技术替代风险</w:t>
      </w:r>
    </w:p>
    <w:p w14:paraId="3238D90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（1）风险描述：多模态大模型技术快速迭代，若未能及时跟进最新技术趋势（如更高效的模型架构、更低成本的训练方法），可能导致产品技术落后，竞争力下降；（2）应对措施：</w:t>
      </w:r>
    </w:p>
    <w:p w14:paraId="0AA2F385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建立技术研发迭代机制，每月跟踪行业技术动态，与高校、科研机构合作开展技术攻关，确保技术路线紧跟行业前沿；</w:t>
      </w:r>
    </w:p>
    <w:p w14:paraId="42CE258C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预留 20% 的研发资金用于新技术适配与探索，设立 “技术创新实验室”，聚焦多模态识别、个性化推荐、教育知识图谱等核心技术方向的创新；</w:t>
      </w:r>
    </w:p>
    <w:p w14:paraId="6489F01F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采用模块化、可扩展的技术架构，便于快速集成新技术、替换核心模块，降低技术替代带来的冲击；</w:t>
      </w:r>
    </w:p>
    <w:p w14:paraId="49EB6D50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加强人才培养与引进，吸引人工智能、教育技术等领域的优秀人才加入团队，保持技术研发活力。</w:t>
      </w:r>
    </w:p>
    <w:p w14:paraId="76428D1A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内部风险</w:t>
      </w:r>
    </w:p>
    <w:p w14:paraId="136334DA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团队管理风险</w:t>
      </w:r>
    </w:p>
    <w:p w14:paraId="02A4C7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（1）风险描述：随着项目发展，团队规模从 12 人扩展至 80 人，可能出现沟通效率下降、部门协作不畅、核心成员流失、企业文化稀释等问题，影响项目推进效率；（2）应对措施：</w:t>
      </w:r>
    </w:p>
    <w:p w14:paraId="0D8C0BFF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建立清晰的组织架构与岗位职责体系，明确各部门、各岗位的核心职责与协作流程，采用 OKR 管理方法，确保目标一致、执行高效；</w:t>
      </w:r>
    </w:p>
    <w:p w14:paraId="50EBAD99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建立核心人才股权激励机制，对技术骨干、核心管理人员给予股权奖励，绑定个人利益与项目发展；完善薪酬福利体系，提供具有竞争力的薪资、晋升通道与培训机会，降低核心成员流失风险；</w:t>
      </w:r>
    </w:p>
    <w:p w14:paraId="39AE3D7C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加强企业文化建设，传承 “技术深耕、教育赋能、协同创新” 的核心价值观，定期组织团队建设活动、技术分享会、工作总结会，增强团队凝聚力；</w:t>
      </w:r>
    </w:p>
    <w:p w14:paraId="5F628B76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建立跨部门协作机制，设立项目专项小组，针对重大项目开展跨部门协作，确保沟通顺畅、执行高效。</w:t>
      </w:r>
    </w:p>
    <w:p w14:paraId="17E8B680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数据安全风险</w:t>
      </w:r>
    </w:p>
    <w:p w14:paraId="121EF28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（1）风险描述：系统存储大量学生个人信息与学习数据，若出现数据泄露、黑客攻击、服务器故障等问题，可能导致用户隐私泄露、系统无法正常运行，损害品牌声誉；（2）应对措施：</w:t>
      </w:r>
    </w:p>
    <w:p w14:paraId="7EA0A335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搭建完善的数据安全防护体系，采用数据加密存储（传输加密、存储加密）、访问权限分级控制、操作日志审计等技术手段，防止数据泄露；</w:t>
      </w:r>
    </w:p>
    <w:p w14:paraId="73E65030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采用云服务器集群部署，配备负载均衡、容灾备份系统，确保服务高可用；定期开展服务器安全检测与漏洞修复，防范黑客攻击；</w:t>
      </w:r>
    </w:p>
    <w:p w14:paraId="42196DAA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建立数据安全应急响应机制，制定数据泄露、服务器故障等应急预案，明确应急处理流程与责任分工，确保突发情况快速响应、有效处置；</w:t>
      </w:r>
    </w:p>
    <w:p w14:paraId="376B58F0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定期开展数据安全培训，提升团队成员的数据安全意识，规范数据操作流程，避免人为因素导致的数据安全问题。</w:t>
      </w:r>
    </w:p>
    <w:p w14:paraId="75F7F685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技术故障风险</w:t>
      </w:r>
    </w:p>
    <w:p w14:paraId="76CD4AA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（1）风险描述：系统上线后，可能出现服务器宕机、功能异常、兼容性问题等技术故障，尤其是在作业提交高峰期（如晚上 8-10 点），可能影响用户体验，导致用户投诉与流失；（2）应对措施：</w:t>
      </w:r>
    </w:p>
    <w:p w14:paraId="29902FBD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采用云服务器集群部署，配备弹性伸缩功能，在高峰期自动扩容，应对流量压力；建立 7×24 小时技术运维团队，实时监控系统运行状态，及时发现并解决故障；</w:t>
      </w:r>
    </w:p>
    <w:p w14:paraId="7103CAD0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加强产品测试，在新版本上线前进行全面的功能测试、压力测试、兼容性测试，确保产品稳定运行；建立灰度发布机制，新版本先向小部分用户推送，验证无问题后再全面上线；</w:t>
      </w:r>
    </w:p>
    <w:p w14:paraId="7F10B3D2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建立用户反馈快速响应机制，通过在线客服、用户群、反馈表单等渠道收集用户问题，技术团队在 2 小时内响应、24 小时内解决普通问题、48 小时内解决复杂问题；</w:t>
      </w:r>
    </w:p>
    <w:p w14:paraId="39C6A2B6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制定故障补偿机制，若因系统故障导致用户无法正常使用服务，给予用户免费增值服务时长、优惠券等补偿，降低用户不满。</w:t>
      </w:r>
    </w:p>
    <w:p w14:paraId="65BC8839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资金短缺风险</w:t>
      </w:r>
    </w:p>
    <w:p w14:paraId="682E897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（1）风险描述：初期研发与推广投入较大（预计 200 万元），若融资未及时到位、营收未达预期，可能导致资金短缺，影响项目推进；（2）应对措施：</w:t>
      </w:r>
    </w:p>
    <w:p w14:paraId="4CF76D41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制定详细的资金使用计划，合理分配研发、推广、运营等各环节的资金，严控成本支出；建立资金预算管理机制，每月进行资金使用审计，确保资金高效利用；</w:t>
      </w:r>
    </w:p>
    <w:p w14:paraId="02D77DEF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拓展多元化资金来源，除了团队自筹、天使投资、政府补贴，还可通过参加创新创业大赛、申请高校创业扶持基金、开展预售等方式补充资金；</w:t>
      </w:r>
    </w:p>
    <w:p w14:paraId="455FBBBF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设定营收预警线，若连续 3 个月营收未达预期，及时调整市场策略、优化成本结构，确保现金流稳定；</w:t>
      </w:r>
    </w:p>
    <w:p w14:paraId="42B06857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与投资方保持密切沟通，及时汇报项目进展，提前启动下一轮融资筹备工作，避免资金断档。</w:t>
      </w:r>
    </w:p>
    <w:p w14:paraId="5E22EB4B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解决措施</w:t>
      </w:r>
    </w:p>
    <w:p w14:paraId="7B9E029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建立 “风险预警 - 风险评估 - 风险处置 - 复盘优化” 的全流程风险管控体系，确保各类风险早发现、早处置：</w:t>
      </w:r>
    </w:p>
    <w:p w14:paraId="3761C6F9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风险预警：设立风险预警指标（如政策变化预警、市场竞争预警、资金短缺预警、技术故障预警），明确预警阈值与监测频率，安排专人负责风险监测；</w:t>
      </w:r>
    </w:p>
    <w:p w14:paraId="3540054E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风险评估：每月开展一次风险排查与评估，采用风险矩阵法（概率 - 影响矩阵）对各类风险进行分级（高、中、低风险），优先处置高风险问题；</w:t>
      </w:r>
    </w:p>
    <w:p w14:paraId="12B9BFA2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风险处置：针对不同类型、不同等级的风险，制定专项应对方案，明确责任部门、处置流程与时间节点，确保风险处置高效有序；</w:t>
      </w:r>
    </w:p>
    <w:p w14:paraId="6126ABA5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复盘优化：每季度开展一次风险处置复盘，总结经验教训，优化风险应对方案与管控体系，持续提升风险管控能力。</w:t>
      </w:r>
    </w:p>
    <w:p w14:paraId="61792D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同时，加强资源储备，预留 10% 的应急资金用于应对突发风险；与行业伙伴建立战略合作关系，在技术、市场、资金等方面形成资源互补，共同抵御风险；强化团队风险意识，将风险管控纳入员工培训与绩效考核，形成 “全员参与、全程管控” 的风险管控文化。</w:t>
      </w:r>
    </w:p>
    <w:p w14:paraId="2EEBE50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技术与服务团队</w:t>
      </w:r>
    </w:p>
    <w:p w14:paraId="78559057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专业平台技术</w:t>
      </w:r>
    </w:p>
    <w:p w14:paraId="1E5F72B4">
      <w:pPr>
        <w:pStyle w:val="4"/>
        <w:widowControl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r>
        <w:t>核心技术架构</w:t>
      </w:r>
    </w:p>
    <w:p w14:paraId="4DBB993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系统采用 “采集层 - 预处理层 - 批改层 - 反馈层 - 应用层” 五层架构，各层技术栈与实现细节如下：（1）采集层：</w:t>
      </w:r>
    </w:p>
    <w:p w14:paraId="11B63DE8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技术选型：手机相机 SDK（学生端）、扫描仪驱动接口（老师端）、图像压缩模块（基于 libjpeg-turbo）；</w:t>
      </w:r>
    </w:p>
    <w:p w14:paraId="7F5BB5B3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技术实现：支持 Android/iOS 系统手机拍摄，自动裁剪、亮度调节、倾斜矫正预处理；图像压缩采用有损压缩算法，将图像大小控制在 500KB 以内，同时保证识别精度；支持批量上传与断点续传，适应弱网络环境。（2）预处理层：</w:t>
      </w:r>
    </w:p>
    <w:p w14:paraId="26500071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技术选型：OpenCV4.5（图像矫正）、Mathpix API（公式提取）、U-Net 语义分割模型（手绘区域定位）、Python3.9；</w:t>
      </w:r>
    </w:p>
    <w:p w14:paraId="555C9379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技术实现：通过 OpenCV 的霍夫变换算法实现图像倾斜矫正（矫正精度 ±0.5°）；利用 Mathpix API 提取作业中的公式内容，支持 Latex 格式输出；基于 U-Net 语义分割模型，训练集包含 1.5 万份手绘作业图像，实现手绘区域定位准确率≥95%，为后续识别奠定基础。（3）批改层：</w:t>
      </w:r>
    </w:p>
    <w:p w14:paraId="69BC65AF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技术选型：LLaVA-13B 多模态大模型（基础模型）、PyTorch2.0（模型训练）、Redis（缓存）、作业评分规则引擎（自定义开发）；</w:t>
      </w:r>
    </w:p>
    <w:p w14:paraId="03E84EBD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技术实现：基于 10 万份标注作业数据集（8 万训练集、1 万验证集、1 万测试集）微调 LLaVA-13B 模型，输入 “作业图像 + 题目文本”，输出识别结果与错误判定；评分规则引擎支持按步骤给分，可自定义步骤分值与错误类型（如计算错误、步骤缺失、公式错误）；Redis 缓存高频题目与标准答案，提升批改速度。（4）反馈层：</w:t>
      </w:r>
    </w:p>
    <w:p w14:paraId="310FB132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技术选型：教育知识图谱（Neo4j 数据库）、Markdown 解析生成器、ECharts（数据可视化）；</w:t>
      </w:r>
    </w:p>
    <w:p w14:paraId="4F9862E5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技术实现：教育知识图谱包含 “知识点 - 题目 - 解析 - 例题” 四级关联关系，覆盖 K12 阶段 9 大学科 2000 + 知识点；Markdown 解析生成器自动将结构化解析内容转换为易读格式（支持公式、图片、列表）；ECharts 生成知识点掌握雷达图、薄弱点趋势图，直观展示学生学习情况。（5）应用层：</w:t>
      </w:r>
    </w:p>
    <w:p w14:paraId="793A66EC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技术选型：老师 Web 端（Vue3、Element Plus、Axios）、学生 APP（Flutter）、家长端（微信小程序）、MySQL8.0（数据库）、Nginx（服务器）；</w:t>
      </w:r>
    </w:p>
    <w:p w14:paraId="227B1271">
      <w:pPr>
        <w:pStyle w:val="11"/>
        <w:widowControl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技术实现：老师 Web 端支持批量操作、数据导出、权限管理；学生 APP 支持离线作业缓存、错题同步、推送提醒；家长端微信小程序无需下载，快速查看学习报告；MySQL 数据库采用主从复制架构，确保数据安全与查询效率；Nginx 作为反向代理，实现负载均衡与高可用。</w:t>
      </w:r>
    </w:p>
    <w:p w14:paraId="45CC1352">
      <w:pPr>
        <w:pStyle w:val="4"/>
        <w:widowControl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r>
        <w:t>核心技术优势</w:t>
      </w:r>
    </w:p>
    <w:p w14:paraId="7B9C1E3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（1）多模态识别技术：基于 LLaVA-13B 微调的模型，文字识别准确率≥98%、公式识别准确率≥95%、手绘识别准确率≥92%，错误识别率 4.2%，远超传统 OCR75% 的准确率与竞争对手 80% 的手绘识别准确率；通过引入公式符号字典（含 “∑”“√” 等 1000 + 符号）与手绘图形库（含受力分析图、几何辅助线等 500 + 图形），提升特殊内容识别精度；（2）轻量化部署技术：采用开源技术栈与模块化架构，系统部署成本低，无需专用硬件；支持 Docker 容器化部署，可快速适配学校私有服务器、云服务器等多种部署环境；APP 安装包体积≤100MB，运行内存占用≤200MB，适配内存≥2GB 的低配置手机；（3）个性化推荐技术：基于协同过滤与内容推荐相结合的算法，分析学生错题数据、知识点掌握情况、学习偏好，推送针对性解析、关联例题与拓展练习，推荐准确率≥85%；（4）教育知识图谱技术：构建 “知识点 - 题目 - 解析 - 例题” 四级关联关系，支持知识点溯源、错题归因、举一反三，为个性化反馈提供核心支撑。</w:t>
      </w:r>
    </w:p>
    <w:p w14:paraId="198BF446">
      <w:pPr>
        <w:pStyle w:val="4"/>
        <w:widowControl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r>
        <w:t>技术研发规划</w:t>
      </w:r>
    </w:p>
    <w:p w14:paraId="1152F76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（1）短期（半年）：优化多模态识别模型，提升手绘题识别准确率至 93% 以上；完成教育知识图谱扩容（覆盖 800 + 知识点）；开发离线批改功能，支持弱网络环境下作业批改；（2）中期（一年）：研发多语言支持功能（英语、日语等）；优化个性化推荐算法，推荐准确率提升至 90% 以上；开发 AI 答疑功能，支持学生实时提问与解答；（3）长期（一年）：探索大语言模型与多模态模型的深度融合，实现自然语言交互批改（如学生用语音描述解题思路，系统进行批改）；构建跨学科知识图谱，支持综合题、探究题的批改；研发教师教研辅助功能，提供教学资源推荐、学情分析报告生成等服务。</w:t>
      </w:r>
    </w:p>
    <w:p w14:paraId="3D45FA6A">
      <w:pPr>
        <w:pStyle w:val="3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服务团队</w:t>
      </w:r>
    </w:p>
    <w:p w14:paraId="4FC890E2">
      <w:pPr>
        <w:pStyle w:val="4"/>
        <w:widowControl/>
        <w:numPr>
          <w:ilvl w:val="0"/>
          <w:numId w:val="34"/>
        </w:numPr>
        <w:ind w:left="0" w:leftChars="0" w:firstLine="0" w:firstLineChars="0"/>
        <w:rPr>
          <w:b w:val="0"/>
          <w:bdr w:val="none" w:sz="0" w:space="0"/>
        </w:rPr>
      </w:pPr>
      <w:r>
        <w:t>团队架构与职责</w:t>
      </w:r>
    </w:p>
    <w:p w14:paraId="67B2C9D7">
      <w:pPr>
        <w:pStyle w:val="5"/>
        <w:widowControl/>
      </w:pPr>
      <w:r>
        <w:t>（1）核心管理层（3 人）：</w:t>
      </w:r>
    </w:p>
    <w:p w14:paraId="106ED6B7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项目负责人（王煦登）：统筹项目规划、战略制定、资源协调，对项目整体进展与成果负责；</w:t>
      </w:r>
    </w:p>
    <w:p w14:paraId="602FAA28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技术负责人：负责技术路线规划、核心算法设计、研发团队管理，确保技术研发按计划推进；</w:t>
      </w:r>
    </w:p>
    <w:p w14:paraId="46A5910A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市场负责人：负责市场策略制定、合作洽谈、品牌推广、渠道管理，确保市场目标达成。（2）研发团队（15 人）：</w:t>
      </w:r>
    </w:p>
    <w:p w14:paraId="3CE91EAE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算法工程师（5 人）：负责多模态模型微调、个性化推荐算法、教育知识图谱构建；</w:t>
      </w:r>
    </w:p>
    <w:p w14:paraId="46546C2C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前端开发工程师（3 人）：负责老师 Web 端、学生 APP、家长端的界面开发与交互优化；</w:t>
      </w:r>
    </w:p>
    <w:p w14:paraId="6FDAFBC6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后端开发工程师（4 人）：负责服务器开发、数据库设计、API 接口开发、系统集成；</w:t>
      </w:r>
    </w:p>
    <w:p w14:paraId="64DDF215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测试工程师（3 人）：负责功能测试、压力测试、兼容性测试、回归测试，确保产品质量。（3）运营团队（8 人）：</w:t>
      </w:r>
    </w:p>
    <w:p w14:paraId="44E161A3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市场推广专员（3 人）：负责线上推广、线下活动策划、合作对接、渠道拓展；</w:t>
      </w:r>
    </w:p>
    <w:p w14:paraId="00AB3600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内容运营专员（2 人）：负责产品内容更新、解析撰写、用户案例收集、行业内容创作；</w:t>
      </w:r>
    </w:p>
    <w:p w14:paraId="653EDC1B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用户运营专员（3 人）：负责用户社群运营、反馈收集、用户培训、活跃度提升。（4）客户服务团队（7 人）：</w:t>
      </w:r>
    </w:p>
    <w:p w14:paraId="2F87252D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客户成功经理（2 人）：负责 B 端客户对接、需求沟通、服务方案制定、客户满意度提升；</w:t>
      </w:r>
    </w:p>
    <w:p w14:paraId="7B613E5C">
      <w:pPr>
        <w:pStyle w:val="11"/>
        <w:widowControl/>
        <w:numPr>
          <w:ilvl w:val="0"/>
          <w:numId w:val="3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售后客服（5 人）：负责用户咨询、问题解答、故障处理、投诉响应，提供 7×12 小时服务。</w:t>
      </w:r>
    </w:p>
    <w:p w14:paraId="224EEA8E">
      <w:pPr>
        <w:pStyle w:val="5"/>
        <w:widowControl/>
        <w:numPr>
          <w:ilvl w:val="0"/>
          <w:numId w:val="34"/>
        </w:numPr>
        <w:ind w:left="0" w:leftChars="0" w:firstLine="0" w:firstLineChars="0"/>
        <w:rPr>
          <w:b w:val="0"/>
          <w:bdr w:val="none" w:sz="0" w:space="0"/>
        </w:rPr>
      </w:pPr>
      <w:r>
        <w:t>服务保障体系</w:t>
      </w:r>
    </w:p>
    <w:p w14:paraId="7BA82894">
      <w:pPr>
        <w:pStyle w:val="6"/>
        <w:widowControl/>
      </w:pPr>
      <w:r>
        <w:t>（1）服务响应机制：</w:t>
      </w:r>
    </w:p>
    <w:p w14:paraId="36DA6040">
      <w:pPr>
        <w:pStyle w:val="11"/>
        <w:widowControl/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B 端客户：配备专属客户成功经理，1 小时内响应咨询，24 小时内解决普通问题，48 小时内解决复杂问题；定期（每月）进行客户回访，收集使用反馈，提供优化建议；</w:t>
      </w:r>
    </w:p>
    <w:p w14:paraId="15C66F5F">
      <w:pPr>
        <w:pStyle w:val="11"/>
        <w:widowControl/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C 端用户：通过在线客服、电话、微信社群等多种渠道提供咨询服务，在线客服响应时间≤5 分钟，普通问题解决时间≤30 分钟，复杂问题解决时间≤24 小时。（2）用户培训体系：</w:t>
      </w:r>
    </w:p>
    <w:p w14:paraId="19DBB5E0">
      <w:pPr>
        <w:pStyle w:val="11"/>
        <w:widowControl/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B 端客户：为学校、机构提供定制化培训（线上 + 线下），包括产品操作、功能应用、数据解读等内容；提供培训手册、视频教程、FAQ 文档等资料；</w:t>
      </w:r>
    </w:p>
    <w:p w14:paraId="0AE7AD7A">
      <w:pPr>
        <w:pStyle w:val="11"/>
        <w:widowControl/>
        <w:numPr>
          <w:ilvl w:val="0"/>
          <w:numId w:val="3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C 端用户：提供产品使用教程（视频 + 图文）、新手引导流程、在线答疑社群，帮助用户快速上手。（3）反馈闭环机制：建立 “用户反馈收集 - 问题分析 - 产品优化 - 反馈回复” 的闭环机制，每月收集用户反馈≥1000 条，分析核心需求与问题，纳入产品迭代计划；产品优化后及时向用户反馈，确保用户需求得到响应。</w:t>
      </w:r>
    </w:p>
    <w:p w14:paraId="4393FDB6">
      <w:pPr>
        <w:pStyle w:val="5"/>
        <w:widowControl/>
        <w:numPr>
          <w:ilvl w:val="0"/>
          <w:numId w:val="34"/>
        </w:numPr>
        <w:ind w:left="0" w:leftChars="0" w:firstLine="0" w:firstLineChars="0"/>
        <w:rPr>
          <w:b w:val="0"/>
          <w:bdr w:val="none" w:sz="0" w:space="0"/>
        </w:rPr>
      </w:pPr>
      <w:r>
        <w:t>团队建设与发展</w:t>
      </w:r>
    </w:p>
    <w:p w14:paraId="0AD8B84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培训计划：为团队成员提供系统的培训，包括技术培训（人工智能、软件开发）、业务培训（教育行业知识、市场运营技巧）、职业素养培训（沟通能力、协作能力）；与高校、培训机构合作开展专项培训，提升团队专业能力；（2）激励机制：建立 “绩效奖金 + 项目奖金 + 股权激励” 的激励体系，对表现优秀的团队成员给予奖金、晋升、股权等奖励；设立 “技术创新奖”“客户服务奖”“市场开拓奖” 等专项奖项，激发团队积极性；（3）职业发展通道：为团队成员提供清晰的职业发展通道，技术岗可晋升为技术主管、技术总监，运营岗可晋升为运营主管、运营总监，客服岗可晋升为客服主管、客户成功经理；定期开展内部竞聘，为优秀人才提供发展机会。</w:t>
      </w:r>
    </w:p>
    <w:p w14:paraId="255ECBDD">
      <w:pPr>
        <w:pStyle w:val="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财务</w:t>
      </w:r>
    </w:p>
    <w:p w14:paraId="4E07BA83">
      <w:pPr>
        <w:pStyle w:val="5"/>
        <w:widowControl/>
        <w:numPr>
          <w:ilvl w:val="0"/>
          <w:numId w:val="3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项目资金来源</w:t>
      </w:r>
    </w:p>
    <w:p w14:paraId="3F2A3E9D">
      <w:pPr>
        <w:pStyle w:val="6"/>
        <w:widowControl/>
        <w:numPr>
          <w:ilvl w:val="0"/>
          <w:numId w:val="38"/>
        </w:numPr>
        <w:ind w:left="0" w:leftChars="0" w:firstLine="0" w:firstLineChars="0"/>
        <w:rPr>
          <w:b w:val="0"/>
          <w:bdr w:val="none" w:sz="0" w:space="0"/>
        </w:rPr>
      </w:pPr>
      <w:r>
        <w:t>初期运营资金（总需求 200 万元）</w:t>
      </w:r>
    </w:p>
    <w:p w14:paraId="0BD326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（1）团队自筹：50 万元，由核心成员出资，占比 25%；（2）赛事奖金与政府补贴：30 万元，包括创新创业大赛获奖资金（预计 20 万元）、大学生创业政府补贴（预计 10 万元），占比 15%；（3）天使投资：120 万元，对接教育领域天使投资人，占比 60%；资金主要用于技术研发（80 万元）、市场推广（40 万元）、团队薪资（50 万元）、服务器与硬件采购（20 万元）、其他费用（10 万元）。</w:t>
      </w:r>
    </w:p>
    <w:p w14:paraId="12021E66">
      <w:pPr>
        <w:pStyle w:val="6"/>
        <w:widowControl/>
        <w:numPr>
          <w:ilvl w:val="0"/>
          <w:numId w:val="38"/>
        </w:numPr>
        <w:ind w:left="0" w:leftChars="0" w:firstLine="0" w:firstLineChars="0"/>
        <w:rPr>
          <w:b w:val="0"/>
          <w:bdr w:val="none" w:sz="0" w:space="0"/>
        </w:rPr>
      </w:pPr>
      <w:r>
        <w:t>中期资金（总需求 500 万元）</w:t>
      </w:r>
    </w:p>
    <w:p w14:paraId="7359197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（1）A 轮融资：500 万元，对接风险投资机构，估值 2500 万元，出让 20% 股权；（2）资金用途：技术研发（200 万元）、市场推广（150 万元）、团队扩张（100 万元）、渠道建设（30 万元）、其他费用（20 万元）。</w:t>
      </w:r>
    </w:p>
    <w:p w14:paraId="7BF6F35B">
      <w:pPr>
        <w:pStyle w:val="6"/>
        <w:widowControl/>
        <w:numPr>
          <w:ilvl w:val="0"/>
          <w:numId w:val="38"/>
        </w:numPr>
        <w:ind w:left="0" w:leftChars="0" w:firstLine="0" w:firstLineChars="0"/>
        <w:rPr>
          <w:b w:val="0"/>
          <w:bdr w:val="none" w:sz="0" w:space="0"/>
        </w:rPr>
      </w:pPr>
      <w:r>
        <w:t>后期资金（总需求 2000 万元）</w:t>
      </w:r>
    </w:p>
    <w:p w14:paraId="516BB31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（1）B 轮融资：2000 万元，对接风险投资机构或战略投资者，估值 1 亿元，出让 20% 股权；（2）资金用途：技术研发（800 万元）、市场扩张（600 万元）、团队建设（300 万元）、生态合作（200 万元）、海外市场拓展（100 万元）。</w:t>
      </w:r>
    </w:p>
    <w:p w14:paraId="116BB25D">
      <w:pPr>
        <w:pStyle w:val="5"/>
        <w:widowControl/>
        <w:numPr>
          <w:ilvl w:val="0"/>
          <w:numId w:val="3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项目产出预估</w:t>
      </w:r>
    </w:p>
    <w:p w14:paraId="483ACB81">
      <w:pPr>
        <w:pStyle w:val="6"/>
        <w:widowControl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经济效益预估</w:t>
      </w:r>
    </w:p>
    <w:p w14:paraId="088FA02C">
      <w:pPr>
        <w:pStyle w:val="7"/>
        <w:widowControl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初期（半年）：</w:t>
      </w:r>
    </w:p>
    <w:p w14:paraId="2605CEF2">
      <w:pPr>
        <w:pStyle w:val="11"/>
        <w:widowControl/>
        <w:numPr>
          <w:ilvl w:val="0"/>
          <w:numId w:val="4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营收：50 万元，其中 B 端服务收入 22.5 万元（学校合作收入 22.5 万元），C 端增值服务收入 10 万元，赛事奖金与政府补贴 17.5 万元；</w:t>
      </w:r>
    </w:p>
    <w:p w14:paraId="68724849">
      <w:pPr>
        <w:pStyle w:val="11"/>
        <w:widowControl/>
        <w:numPr>
          <w:ilvl w:val="0"/>
          <w:numId w:val="4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成本：200 万元，其中研发成本 80 万元（人员薪资 40 万元、服务器费用 20 万元、技术采购 20 万元），市场推广成本 40 万元，运营成本 30 万元（人员薪资 20 万元、办公费用 10 万元），其他费用 10 万元；</w:t>
      </w:r>
    </w:p>
    <w:p w14:paraId="795712A5">
      <w:pPr>
        <w:pStyle w:val="11"/>
        <w:widowControl/>
        <w:numPr>
          <w:ilvl w:val="0"/>
          <w:numId w:val="4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利润：-150 万元（初期投入阶段，亏损在预期范围内）。</w:t>
      </w:r>
    </w:p>
    <w:p w14:paraId="6D10414F">
      <w:pPr>
        <w:pStyle w:val="7"/>
        <w:widowControl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中期（一年）：</w:t>
      </w:r>
    </w:p>
    <w:p w14:paraId="453C1D9B">
      <w:pPr>
        <w:pStyle w:val="11"/>
        <w:widowControl/>
        <w:numPr>
          <w:ilvl w:val="0"/>
          <w:numId w:val="4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营收：5000 万元，其中 B 端服务收入 449 万元（学校合作收入 225 万元、机构合作收入 124 万元、定制化服务收入 100 万元），C 端增值服务收入 3400 万元（学生端 3000 万元、家长端 400 万元），广告收入 100 万元；</w:t>
      </w:r>
    </w:p>
    <w:p w14:paraId="73876C01">
      <w:pPr>
        <w:pStyle w:val="11"/>
        <w:widowControl/>
        <w:numPr>
          <w:ilvl w:val="0"/>
          <w:numId w:val="4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成本：3500 万元，其中研发成本 1000 万元（人员薪资 500 万元、服务器费用 200 万元、技术采购 300 万元），市场推广成本 1500 万元（广告投放 800 万元、渠道建设 300 万元、活动策划 400 万元），运营成本 800 万元（人员薪资 600 万元、办公费用 100 万元、客户服务 100 万元），其他费用 200 万元；</w:t>
      </w:r>
    </w:p>
    <w:p w14:paraId="68183A28">
      <w:pPr>
        <w:pStyle w:val="11"/>
        <w:widowControl/>
        <w:numPr>
          <w:ilvl w:val="0"/>
          <w:numId w:val="4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利润：1500 万元，净利率 30%。</w:t>
      </w:r>
    </w:p>
    <w:p w14:paraId="00FD6247">
      <w:pPr>
        <w:pStyle w:val="7"/>
        <w:widowControl/>
        <w:numPr>
          <w:ilvl w:val="0"/>
          <w:numId w:val="4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后期（一年）：</w:t>
      </w:r>
    </w:p>
    <w:p w14:paraId="44DA6F6B">
      <w:pPr>
        <w:pStyle w:val="11"/>
        <w:widowControl/>
        <w:numPr>
          <w:ilvl w:val="0"/>
          <w:numId w:val="4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营收：1.35 亿元，其中 B 端服务收入 1920 万元（学校合作收入 750 万元、机构合作收入 920 万元、定制化服务收入 250 万元），C 端增值服务收入 1.12 亿元（学生端 1 亿元、家长端 1200 万元），广告收入 300 万元，数据服务收入 200 万元；</w:t>
      </w:r>
    </w:p>
    <w:p w14:paraId="0F935F2D">
      <w:pPr>
        <w:pStyle w:val="11"/>
        <w:widowControl/>
        <w:numPr>
          <w:ilvl w:val="0"/>
          <w:numId w:val="4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成本：1.0125 亿元，其中研发成本 3000 万元（人员薪资 1500 万元、服务器费用 500 万元、技术采购 1000 万元），市场推广成本 5000 万元（广告投放 2500 万元、渠道建设 1000 万元、活动策划 1500 万元），运营成本 1825 万元（人员薪资 1300 万元、办公费用 200 万元、客户服务 325 万元），其他费用 300 万元；</w:t>
      </w:r>
    </w:p>
    <w:p w14:paraId="33047B56">
      <w:pPr>
        <w:pStyle w:val="11"/>
        <w:widowControl/>
        <w:numPr>
          <w:ilvl w:val="0"/>
          <w:numId w:val="4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  <w:bdr w:val="none" w:color="auto" w:sz="0" w:space="0"/>
        </w:rPr>
        <w:t>利润：3375 万元，净利率 25%。</w:t>
      </w:r>
    </w:p>
    <w:p w14:paraId="78734E70">
      <w:pPr>
        <w:pStyle w:val="6"/>
        <w:widowControl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社会效益预估</w:t>
      </w:r>
    </w:p>
    <w:p w14:paraId="6920235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（1）减轻教师负担：三年内累计为教师节省批改时间超 100 万小时，让教师将更多精力投入到备课、授课与个性化辅导中；（2）提升学生学习效率：帮助 500 万学生精准定位薄弱点，避免盲目刷题，学习效率提升 30% 以上，平均成绩提升 10-15 分；（3）促进教育公平：为 1000 所县域、农村学校提供低成本、高质量的智能批改工具，缩小城乡教育资源差距；（4）推动教育数字化转型：为中小学教育数字化提供可复制、可推广的解决方案，助力教育数字化战略行动落地；（5）创造就业机会：项目发展过程中，直接创造 80 个就业岗位，间接带动高校毕业生就业、教育培训机构数字化转型就业等相关岗位 200 个以上。</w:t>
      </w:r>
    </w:p>
    <w:p w14:paraId="495D90E5">
      <w:pPr>
        <w:pStyle w:val="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总结与展望</w:t>
      </w:r>
    </w:p>
    <w:p w14:paraId="2677037B">
      <w:pPr>
        <w:pStyle w:val="5"/>
        <w:widowControl/>
        <w:numPr>
          <w:ilvl w:val="0"/>
          <w:numId w:val="4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总结</w:t>
      </w:r>
    </w:p>
    <w:p w14:paraId="616C713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本项目聚焦教育领域作业批改环节的核心痛点，依托多模态大模型技术，打造了一款 “多模态全场景覆盖、高效精准、轻量化部署、个性化闭环反馈” 的智能作业批改系统。项目通过 “采集层 - 预处理层 - 批改层 - 反馈层 - 应用层” 的五层架构，实现了文字、公式、手绘作业的全类型精准批改，批改速度达 105 份 / 分钟，错误识别率仅 4.2%，较人工批改提升 90 倍以上，精准解决了教师批改效率低、精度不足，学生学习个性化缺失的核心问题。</w:t>
      </w:r>
    </w:p>
    <w:p w14:paraId="7780E62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项目具备显著的技术优势、场景优势与市场竞争力：核心技术指标行业领先，多模态识别能力覆盖全场景；轻量化设计适配县域、农村学校等下沉市场，性价比优势明显；商业模式清晰，B+C 端协同盈利，具备可持续发展能力；团队成员兼具技术研发与教育场景理解能力，指导教师经验丰富，为项目落地提供了坚实保障。</w:t>
      </w:r>
    </w:p>
    <w:p w14:paraId="5AEBA47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通过前期市场调研与试点验证，项目已充分验证了市场需求与产品可行性，3 所试点学校的效率提升幅度达 62%，教师、学生、家长反馈良好。项目发展规划明确，分阶段实现产品打磨、市场扩张、生态构建的目标，风险应对措施完善，具备规模化推广与盈利的潜力。</w:t>
      </w:r>
    </w:p>
    <w:p w14:paraId="1C7EF5AE">
      <w:pPr>
        <w:pStyle w:val="5"/>
        <w:widowControl/>
        <w:numPr>
          <w:ilvl w:val="0"/>
          <w:numId w:val="4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展望</w:t>
      </w:r>
    </w:p>
    <w:p w14:paraId="0CDEF81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未来，项目将以 “技术赋能教育公平与高效” 为使命，持续深耕智能作业批改领域，不断优化产品功能与服务体验，逐步构建 “批改 - 反馈 - 复习 - 教研 - 数据服务” 的全闭环教育服务生态。</w:t>
      </w:r>
    </w:p>
    <w:p w14:paraId="01E18A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短期内（1-2 年），项目将聚焦国内下沉市场，巩固县域、农村学校的市场份额，完成 9 大学科全覆盖，实现 C 端用户 500 万、营收 5000 万元的目标，成为下沉市场智能作业批改的标杆品牌；同时，加强技术研发与品牌建设，构建技术壁垒与客户忠诚度，完成 A、B 轮融资，为规模化发展奠定基础。</w:t>
      </w:r>
    </w:p>
    <w:p w14:paraId="2A36DB4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中期（2-3 年），项目将拓展一线城市市场与海外华人教育市场，与头部教育机构、高校建立深度生态合作，推出 AI 答疑、教研支持、跨学科批改等创新功能，实现营收 1.35 亿元、净利润 3375 万元的目标，市场占有率进入行业前三；启动上市筹备工作，提升品牌影响力与行业话语权。</w:t>
      </w:r>
    </w:p>
    <w:p w14:paraId="7E13EBD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长期来看，项目将以智能作业批改为核心，拓展个性化学习、教师教研、教育数据服务等相关业务，构建教育科技生态平台；持续推动技术创新，探索大语言模型、虚拟现实等新技术在教育场景的应用，为全球 K12 教育提供高效、精准、普惠的数字化解决方案，成为教育科技领域的领军企业，为提升教育质量、促进教育公平做出重要贡献。</w:t>
      </w:r>
    </w:p>
    <w:p w14:paraId="569F965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  <w:bdr w:val="none" w:color="auto" w:sz="0" w:space="0"/>
        </w:rPr>
        <w:t>我们坚信，在团队的不懈努力、指导教师的专业支持、投资方的资金保障与合作伙伴的资源协同下，本项目必将实现 “技术赋能教育，让每个学生都能获得个性化成长” 的愿景，书写教育数字化转型的新篇章。</w:t>
      </w:r>
    </w:p>
    <w:p w14:paraId="79B44A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62697"/>
    <w:multiLevelType w:val="singleLevel"/>
    <w:tmpl w:val="8616269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8B915400"/>
    <w:multiLevelType w:val="singleLevel"/>
    <w:tmpl w:val="8B91540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95215793"/>
    <w:multiLevelType w:val="singleLevel"/>
    <w:tmpl w:val="9521579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95BB8052"/>
    <w:multiLevelType w:val="singleLevel"/>
    <w:tmpl w:val="95BB805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97A261B8"/>
    <w:multiLevelType w:val="singleLevel"/>
    <w:tmpl w:val="97A261B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5">
    <w:nsid w:val="99199070"/>
    <w:multiLevelType w:val="singleLevel"/>
    <w:tmpl w:val="9919907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9A021877"/>
    <w:multiLevelType w:val="singleLevel"/>
    <w:tmpl w:val="9A02187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9FD09C26"/>
    <w:multiLevelType w:val="singleLevel"/>
    <w:tmpl w:val="9FD09C2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A3EEE27D"/>
    <w:multiLevelType w:val="singleLevel"/>
    <w:tmpl w:val="A3EEE27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AD568026"/>
    <w:multiLevelType w:val="singleLevel"/>
    <w:tmpl w:val="AD56802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0">
    <w:nsid w:val="AF4ACA10"/>
    <w:multiLevelType w:val="singleLevel"/>
    <w:tmpl w:val="AF4ACA1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1">
    <w:nsid w:val="AFA0D43D"/>
    <w:multiLevelType w:val="singleLevel"/>
    <w:tmpl w:val="AFA0D43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B2DCAAEC"/>
    <w:multiLevelType w:val="singleLevel"/>
    <w:tmpl w:val="B2DCAAE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B754626B"/>
    <w:multiLevelType w:val="singleLevel"/>
    <w:tmpl w:val="B754626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B8D2F4DD"/>
    <w:multiLevelType w:val="singleLevel"/>
    <w:tmpl w:val="B8D2F4D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BDEC2C81"/>
    <w:multiLevelType w:val="singleLevel"/>
    <w:tmpl w:val="BDEC2C8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6">
    <w:nsid w:val="C95EC355"/>
    <w:multiLevelType w:val="singleLevel"/>
    <w:tmpl w:val="C95EC35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7">
    <w:nsid w:val="CE14FB38"/>
    <w:multiLevelType w:val="singleLevel"/>
    <w:tmpl w:val="CE14FB3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">
    <w:nsid w:val="CEFEABF7"/>
    <w:multiLevelType w:val="singleLevel"/>
    <w:tmpl w:val="CEFEABF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D8956726"/>
    <w:multiLevelType w:val="singleLevel"/>
    <w:tmpl w:val="D895672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0">
    <w:nsid w:val="D8A68371"/>
    <w:multiLevelType w:val="singleLevel"/>
    <w:tmpl w:val="D8A6837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DAD6A5E3"/>
    <w:multiLevelType w:val="singleLevel"/>
    <w:tmpl w:val="DAD6A5E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2">
    <w:nsid w:val="E221CFDE"/>
    <w:multiLevelType w:val="singleLevel"/>
    <w:tmpl w:val="E221CFD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3">
    <w:nsid w:val="E3705227"/>
    <w:multiLevelType w:val="singleLevel"/>
    <w:tmpl w:val="E370522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F24D3654"/>
    <w:multiLevelType w:val="singleLevel"/>
    <w:tmpl w:val="F24D365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5">
    <w:nsid w:val="F45A40CE"/>
    <w:multiLevelType w:val="singleLevel"/>
    <w:tmpl w:val="F45A40C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6">
    <w:nsid w:val="F6C6867E"/>
    <w:multiLevelType w:val="singleLevel"/>
    <w:tmpl w:val="F6C6867E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7">
    <w:nsid w:val="FFFB350C"/>
    <w:multiLevelType w:val="singleLevel"/>
    <w:tmpl w:val="FFFB350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090EF3E5"/>
    <w:multiLevelType w:val="singleLevel"/>
    <w:tmpl w:val="090EF3E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0EF1B8A7"/>
    <w:multiLevelType w:val="singleLevel"/>
    <w:tmpl w:val="0EF1B8A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11ED23A2"/>
    <w:multiLevelType w:val="singleLevel"/>
    <w:tmpl w:val="11ED23A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1">
    <w:nsid w:val="13483EF7"/>
    <w:multiLevelType w:val="singleLevel"/>
    <w:tmpl w:val="13483EF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">
    <w:nsid w:val="2550D827"/>
    <w:multiLevelType w:val="singleLevel"/>
    <w:tmpl w:val="2550D82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3">
    <w:nsid w:val="28EF1FD8"/>
    <w:multiLevelType w:val="singleLevel"/>
    <w:tmpl w:val="28EF1FD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4">
    <w:nsid w:val="2B473F3E"/>
    <w:multiLevelType w:val="singleLevel"/>
    <w:tmpl w:val="2B473F3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5">
    <w:nsid w:val="2B97CB9F"/>
    <w:multiLevelType w:val="singleLevel"/>
    <w:tmpl w:val="2B97CB9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2BB85EE8"/>
    <w:multiLevelType w:val="singleLevel"/>
    <w:tmpl w:val="2BB85EE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7">
    <w:nsid w:val="30B081BD"/>
    <w:multiLevelType w:val="singleLevel"/>
    <w:tmpl w:val="30B081B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8">
    <w:nsid w:val="462591A3"/>
    <w:multiLevelType w:val="singleLevel"/>
    <w:tmpl w:val="462591A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9">
    <w:nsid w:val="4F62F00B"/>
    <w:multiLevelType w:val="singleLevel"/>
    <w:tmpl w:val="4F62F00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0">
    <w:nsid w:val="50708FFA"/>
    <w:multiLevelType w:val="singleLevel"/>
    <w:tmpl w:val="50708FF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1">
    <w:nsid w:val="6A865BC7"/>
    <w:multiLevelType w:val="singleLevel"/>
    <w:tmpl w:val="6A865BC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2">
    <w:nsid w:val="7283E9AD"/>
    <w:multiLevelType w:val="singleLevel"/>
    <w:tmpl w:val="7283E9A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3">
    <w:nsid w:val="73E11789"/>
    <w:multiLevelType w:val="singleLevel"/>
    <w:tmpl w:val="73E1178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36"/>
  </w:num>
  <w:num w:numId="2">
    <w:abstractNumId w:val="21"/>
  </w:num>
  <w:num w:numId="3">
    <w:abstractNumId w:val="38"/>
  </w:num>
  <w:num w:numId="4">
    <w:abstractNumId w:val="34"/>
  </w:num>
  <w:num w:numId="5">
    <w:abstractNumId w:val="43"/>
  </w:num>
  <w:num w:numId="6">
    <w:abstractNumId w:val="26"/>
  </w:num>
  <w:num w:numId="7">
    <w:abstractNumId w:val="2"/>
  </w:num>
  <w:num w:numId="8">
    <w:abstractNumId w:val="17"/>
  </w:num>
  <w:num w:numId="9">
    <w:abstractNumId w:val="27"/>
  </w:num>
  <w:num w:numId="10">
    <w:abstractNumId w:val="13"/>
  </w:num>
  <w:num w:numId="11">
    <w:abstractNumId w:val="24"/>
  </w:num>
  <w:num w:numId="12">
    <w:abstractNumId w:val="32"/>
  </w:num>
  <w:num w:numId="13">
    <w:abstractNumId w:val="10"/>
  </w:num>
  <w:num w:numId="14">
    <w:abstractNumId w:val="41"/>
  </w:num>
  <w:num w:numId="15">
    <w:abstractNumId w:val="8"/>
  </w:num>
  <w:num w:numId="16">
    <w:abstractNumId w:val="6"/>
  </w:num>
  <w:num w:numId="17">
    <w:abstractNumId w:val="4"/>
  </w:num>
  <w:num w:numId="18">
    <w:abstractNumId w:val="18"/>
  </w:num>
  <w:num w:numId="19">
    <w:abstractNumId w:val="11"/>
  </w:num>
  <w:num w:numId="20">
    <w:abstractNumId w:val="25"/>
  </w:num>
  <w:num w:numId="21">
    <w:abstractNumId w:val="7"/>
  </w:num>
  <w:num w:numId="22">
    <w:abstractNumId w:val="1"/>
  </w:num>
  <w:num w:numId="23">
    <w:abstractNumId w:val="35"/>
  </w:num>
  <w:num w:numId="24">
    <w:abstractNumId w:val="40"/>
  </w:num>
  <w:num w:numId="25">
    <w:abstractNumId w:val="15"/>
  </w:num>
  <w:num w:numId="26">
    <w:abstractNumId w:val="28"/>
  </w:num>
  <w:num w:numId="27">
    <w:abstractNumId w:val="23"/>
  </w:num>
  <w:num w:numId="28">
    <w:abstractNumId w:val="12"/>
  </w:num>
  <w:num w:numId="29">
    <w:abstractNumId w:val="33"/>
  </w:num>
  <w:num w:numId="30">
    <w:abstractNumId w:val="29"/>
  </w:num>
  <w:num w:numId="31">
    <w:abstractNumId w:val="16"/>
  </w:num>
  <w:num w:numId="32">
    <w:abstractNumId w:val="0"/>
  </w:num>
  <w:num w:numId="33">
    <w:abstractNumId w:val="37"/>
  </w:num>
  <w:num w:numId="34">
    <w:abstractNumId w:val="30"/>
  </w:num>
  <w:num w:numId="35">
    <w:abstractNumId w:val="39"/>
  </w:num>
  <w:num w:numId="36">
    <w:abstractNumId w:val="20"/>
  </w:num>
  <w:num w:numId="37">
    <w:abstractNumId w:val="9"/>
  </w:num>
  <w:num w:numId="38">
    <w:abstractNumId w:val="3"/>
  </w:num>
  <w:num w:numId="39">
    <w:abstractNumId w:val="14"/>
  </w:num>
  <w:num w:numId="40">
    <w:abstractNumId w:val="22"/>
  </w:num>
  <w:num w:numId="41">
    <w:abstractNumId w:val="5"/>
  </w:num>
  <w:num w:numId="42">
    <w:abstractNumId w:val="31"/>
  </w:num>
  <w:num w:numId="43">
    <w:abstractNumId w:val="42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4009E"/>
    <w:rsid w:val="14F4009E"/>
    <w:rsid w:val="565B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2026-01-25T14:17:00Z</dcterms:created>
  <dc:creator>王煦登</dc:creator>
  <cp:lastModifiedBy>韦云兵</cp:lastModifiedBy>
  <dcterms:modified xsi:type="dcterms:W3CDTF">2026-01-25T14:32:57Z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22E9C05CD89C4B97866CA5EBB5D58158_11</vt:lpwstr>
  </property>
  <property fmtid="{D5CDD505-2E9C-101B-9397-08002B2CF9AE}" pid="4" name="KSOTemplateDocerSaveRecord">
    <vt:lpwstr>eyJoZGlkIjoiNWZjZjY0YjY4NTNhM2IwNGIwMzg4ZGY2NmE4OGM1MTEiLCJ1c2VySWQiOiIxNzQxOTYwNTgyIn0=</vt:lpwstr>
  </property>
</Properties>
</file>