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0E81"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szCs w:val="28"/>
        </w:rPr>
        <w:t>1、</w:t>
      </w:r>
      <w:r>
        <w:rPr>
          <w:rFonts w:ascii="楷体" w:eastAsia="楷体" w:hAnsi="楷体" w:hint="eastAsia"/>
          <w:color w:val="000000" w:themeColor="text1"/>
          <w:sz w:val="28"/>
        </w:rPr>
        <w:t>一种时延闭环耦合的电力信息物理系统级联故障评估方法，其特征在于，包括以下步骤：</w:t>
      </w:r>
    </w:p>
    <w:p w14:paraId="412845C0" w14:textId="02E015C8"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步骤1、构建信息物理电力系统的双层耦合模型：以电力网络作为物理层、以通信网络作为信息层，确定通信网络中的控制中心节点，并以介数正相关的方式将物理层节点与信息层节点一一耦合</w:t>
      </w:r>
      <w:r w:rsidR="00472571">
        <w:rPr>
          <w:rFonts w:ascii="楷体" w:eastAsia="楷体" w:hAnsi="楷体" w:hint="eastAsia"/>
          <w:color w:val="000000" w:themeColor="text1"/>
          <w:sz w:val="28"/>
        </w:rPr>
        <w:t>,并根据电力网络的拓扑数据确定物理层支路</w:t>
      </w:r>
      <w:r>
        <w:rPr>
          <w:rFonts w:ascii="楷体" w:eastAsia="楷体" w:hAnsi="楷体" w:hint="eastAsia"/>
          <w:color w:val="000000" w:themeColor="text1"/>
          <w:sz w:val="28"/>
        </w:rPr>
        <w:t>；对物理层支路及信息层节点和信息层链路均按同一容忍裕度设定容量；</w:t>
      </w:r>
    </w:p>
    <w:p w14:paraId="4108BD41" w14:textId="1FADB543"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w:t>
      </w:r>
      <w:commentRangeStart w:id="0"/>
      <w:r>
        <w:rPr>
          <w:rFonts w:ascii="楷体" w:eastAsia="楷体" w:hAnsi="楷体"/>
          <w:color w:val="000000" w:themeColor="text1"/>
          <w:sz w:val="28"/>
        </w:rPr>
        <w:t>以时延内生闭环级联失效模型对系统进行逐轮迭代仿真</w:t>
      </w:r>
      <w:commentRangeEnd w:id="0"/>
      <w:r w:rsidR="00670226">
        <w:rPr>
          <w:rStyle w:val="af3"/>
          <w:rFonts w:ascii="楷体" w:eastAsia="楷体" w:hAnsi="楷体"/>
          <w:color w:val="000000" w:themeColor="text1"/>
          <w:sz w:val="28"/>
          <w:szCs w:val="20"/>
        </w:rPr>
        <w:commentReference w:id="0"/>
      </w:r>
      <w:r>
        <w:rPr>
          <w:rFonts w:ascii="楷体" w:eastAsia="楷体" w:hAnsi="楷体"/>
          <w:color w:val="000000" w:themeColor="text1"/>
          <w:sz w:val="28"/>
        </w:rPr>
        <w:t>，</w:t>
      </w:r>
      <w:commentRangeStart w:id="1"/>
      <w:r w:rsidRPr="00AB239A">
        <w:rPr>
          <w:rFonts w:ascii="楷体" w:eastAsia="楷体" w:hAnsi="楷体"/>
          <w:color w:val="000000" w:themeColor="text1"/>
          <w:sz w:val="28"/>
          <w:highlight w:val="yellow"/>
        </w:rPr>
        <w:t>将通信时延作为级联过程内生状态量的级联失效仿真模型</w:t>
      </w:r>
      <w:commentRangeEnd w:id="1"/>
      <w:r w:rsidR="00670226">
        <w:rPr>
          <w:rStyle w:val="af3"/>
          <w:rFonts w:ascii="楷体" w:eastAsia="楷体" w:hAnsi="楷体"/>
          <w:color w:val="000000" w:themeColor="text1"/>
          <w:sz w:val="28"/>
          <w:szCs w:val="20"/>
        </w:rPr>
        <w:commentReference w:id="1"/>
      </w:r>
      <w:r>
        <w:rPr>
          <w:rFonts w:ascii="楷体" w:eastAsia="楷体" w:hAnsi="楷体"/>
          <w:color w:val="000000" w:themeColor="text1"/>
          <w:sz w:val="28"/>
        </w:rPr>
        <w:t>，其结构为逐轮执行的外循环迭代，每一轮迭代依次执行</w:t>
      </w:r>
      <w:r w:rsidRPr="00670226">
        <w:rPr>
          <w:rFonts w:ascii="楷体" w:eastAsia="楷体" w:hAnsi="楷体"/>
          <w:color w:val="000000" w:themeColor="text1"/>
          <w:sz w:val="28"/>
          <w:highlight w:val="yellow"/>
        </w:rPr>
        <w:t>信息层过载检查、逐机组时延评估、潮流前出力缩放、直流潮流重分配和时延耦合低频减载</w:t>
      </w:r>
      <w:r>
        <w:rPr>
          <w:rFonts w:ascii="楷体" w:eastAsia="楷体" w:hAnsi="楷体"/>
          <w:color w:val="000000" w:themeColor="text1"/>
          <w:sz w:val="28"/>
        </w:rPr>
        <w:t>五个子步骤，且各轮之间通过时延反馈形成闭环：</w:t>
      </w:r>
      <w:commentRangeStart w:id="2"/>
      <w:r>
        <w:rPr>
          <w:rFonts w:ascii="楷体" w:eastAsia="楷体" w:hAnsi="楷体"/>
          <w:color w:val="000000" w:themeColor="text1"/>
          <w:sz w:val="28"/>
        </w:rPr>
        <w:t>在每一轮级联中，先进行结构性故障的跨层传播，再在当前受损</w:t>
      </w:r>
      <w:r w:rsidR="00654B5C">
        <w:rPr>
          <w:rFonts w:ascii="楷体" w:eastAsia="楷体" w:hAnsi="楷体" w:hint="eastAsia"/>
          <w:color w:val="000000" w:themeColor="text1"/>
          <w:sz w:val="28"/>
        </w:rPr>
        <w:t>的</w:t>
      </w:r>
      <w:r w:rsidR="00654B5C">
        <w:rPr>
          <w:rFonts w:ascii="楷体" w:eastAsia="楷体" w:hAnsi="楷体"/>
          <w:color w:val="000000" w:themeColor="text1"/>
          <w:sz w:val="28"/>
        </w:rPr>
        <w:t>通信网络</w:t>
      </w:r>
      <w:r>
        <w:rPr>
          <w:rFonts w:ascii="楷体" w:eastAsia="楷体" w:hAnsi="楷体"/>
          <w:color w:val="000000" w:themeColor="text1"/>
          <w:sz w:val="28"/>
        </w:rPr>
        <w:t>拓扑上为每台存活发电机计算通信时延，并根据时延通过控制效能因子对该发电机出力进行缩放，得到时延退化后的实际出力，然后以时延退化后的实际出力求解直流潮流以确定支路过载，最后执行随时延加深的时延耦合低频减载；上述时延在每一轮均在当前拓扑上重新计算并反馈到下一轮，形成闭环</w:t>
      </w:r>
      <w:commentRangeEnd w:id="2"/>
      <w:r w:rsidR="00AB4080">
        <w:rPr>
          <w:rStyle w:val="af3"/>
          <w:rFonts w:ascii="楷体" w:eastAsia="楷体" w:hAnsi="楷体"/>
          <w:color w:val="000000" w:themeColor="text1"/>
          <w:sz w:val="28"/>
          <w:szCs w:val="20"/>
        </w:rPr>
        <w:commentReference w:id="2"/>
      </w:r>
      <w:r>
        <w:rPr>
          <w:rFonts w:ascii="楷体" w:eastAsia="楷体" w:hAnsi="楷体"/>
          <w:color w:val="000000" w:themeColor="text1"/>
          <w:sz w:val="28"/>
        </w:rPr>
        <w:t>；</w:t>
      </w:r>
    </w:p>
    <w:p w14:paraId="07512CAD"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步骤3、根据供给守恒比LSR和调度保真误差DTE对鲁棒性进行评估，并对所述容忍裕度、时延严重程度以及上行测量通道时延和下行执行通道时延各自的分量进行敏感性分析。</w:t>
      </w:r>
    </w:p>
    <w:p w14:paraId="502B95F4"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2、根据权利要求1所述的方法，其特征在于，所述步骤1中，所述通信网络采用无标度网络；所述控制中心节点按以下方式选取：计算每个节点的结构重要度评分，该评分等于该节点的归一化介数与该节点的核数之和除以该节点的聚类系数的商，加上该节点的度与该节点的接近中心性的乘积。</w:t>
      </w:r>
    </w:p>
    <w:p w14:paraId="332498D1"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3、根据权利要求1所述的方法，其特征在于，所述步骤1中，选取结构重要度评分最高的节点作为控制中心节点。</w:t>
      </w:r>
    </w:p>
    <w:p w14:paraId="1E076856"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lastRenderedPageBreak/>
        <w:t>4、根据权利要求1所述的方法，其特征在于，所述步骤1中，所述物理层支路的容量为：1加上容忍裕度后乘以该支路初始潮流的绝对值；所述信息层节点和信息层链路的容量均为：1加上容忍裕度后乘以初始带宽。</w:t>
      </w:r>
    </w:p>
    <w:p w14:paraId="1D3A7FFD"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5、根据权利要求1所述的方法，其特征在于，所述步骤2中，所述通信时延沿路径计算：单条链路时延等于报文大小除以链路带宽的商加上链路长度除以信号传播速度的商；一条路径的总时延在所述单条链路时延之外还包括端点收发处理时间以及每个中间节点的转发时间，且所述控制中心节点的转发时间小于普通中继节点的转发时间。</w:t>
      </w:r>
    </w:p>
    <w:p w14:paraId="684CD118"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6、根据权利要求1所述的方法，其特征在于，所述步骤2中，所述上行测量通道时延为：发电厂母线至非控制中心节点的发送处理时延，加上上行路径上的传输总时延，再加上排队时延；所述下行执行通道时延为：非控制中心节点至发电厂母线的接收处理时延，加上下行路径上的传输总时延，再加上排队时延；上行通道承载量测报文，下行通道承载命令报文，两通道对同一拓扑变化的响应不同。</w:t>
      </w:r>
    </w:p>
    <w:p w14:paraId="65FE6ACC"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7、根据权利要求1所述的方法，其特征在于，所述步骤2中，所述三因子控制效能因子采用的是三因子</w:t>
      </w:r>
      <w:r>
        <w:rPr>
          <w:rFonts w:ascii="楷体" w:eastAsia="楷体" w:hAnsi="楷体"/>
          <w:color w:val="000000" w:themeColor="text1"/>
          <w:sz w:val="28"/>
        </w:rPr>
        <w:t>连乘形式</w:t>
      </w:r>
      <w:r>
        <w:rPr>
          <w:rFonts w:ascii="楷体" w:eastAsia="楷体" w:hAnsi="楷体" w:hint="eastAsia"/>
          <w:color w:val="000000" w:themeColor="text1"/>
          <w:sz w:val="28"/>
        </w:rPr>
        <w:t>，所述三因子分别为报文丢失因子、控制饱和因子、稳定性崩溃因子。</w:t>
      </w:r>
    </w:p>
    <w:p w14:paraId="6C53EF38"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8、根据权利要求7所述的方法，其特征在于，所述报文丢失因子等于一减去单跳丢包率的差的路径跳数次幂，其中路径跳数为上行路径跳数与下行路径跳数之和；</w:t>
      </w:r>
    </w:p>
    <w:p w14:paraId="6B0D32C0"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控制饱和因子等于自然常数e的负指数幂，所述指数为上行通道衰减系数乘以上行测量通道时延与上行通道死区阈值之差的正部，加上下行通道衰减系数乘以下行执行通道时延与下行通道死区阈值之差的正部，所述正部表示取括号内数值与零中的较大值；</w:t>
      </w:r>
    </w:p>
    <w:p w14:paraId="7460CFE1"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所述稳定性崩溃因子等于一加上自然常数e的负陡度系数的和，除以一加上自然常数e的以下幂：陡度系数乘以上行测量通道时延与下行执行通道</w:t>
      </w:r>
      <w:r>
        <w:rPr>
          <w:rFonts w:ascii="楷体" w:eastAsia="楷体" w:hAnsi="楷体" w:hint="eastAsia"/>
          <w:color w:val="000000" w:themeColor="text1"/>
          <w:sz w:val="28"/>
        </w:rPr>
        <w:lastRenderedPageBreak/>
        <w:t>时延之和减去第i台发电机的临界时延阈值的差再除以该临界时延阈值；所述第i台发电机的临界时延阈值等于预设的最大临界时延阈值乘以第i台发电机的额定容量除以所有存活发电机额定容量的最大值；</w:t>
      </w:r>
    </w:p>
    <w:p w14:paraId="4113ECBD"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所述三因子经归一化使所有时延为零时控制效能因子等于1。</w:t>
      </w:r>
    </w:p>
    <w:p w14:paraId="346DEE32" w14:textId="77777777" w:rsidR="002D09F7" w:rsidRDefault="00000000">
      <w:pPr>
        <w:adjustRightInd w:val="0"/>
        <w:snapToGrid w:val="0"/>
        <w:ind w:firstLine="560"/>
        <w:jc w:val="left"/>
        <w:rPr>
          <w:rFonts w:ascii="楷体" w:eastAsia="楷体" w:hAnsi="楷体" w:hint="eastAsia"/>
          <w:color w:val="000000" w:themeColor="text1"/>
          <w:sz w:val="28"/>
        </w:rPr>
      </w:pPr>
      <w:r w:rsidRPr="00F47AAC">
        <w:rPr>
          <w:rFonts w:ascii="楷体" w:eastAsia="楷体" w:hAnsi="楷体" w:hint="eastAsia"/>
          <w:color w:val="000000" w:themeColor="text1"/>
          <w:sz w:val="28"/>
          <w:highlight w:val="yellow"/>
        </w:rPr>
        <w:t>9、根据权利要求1所述的方法，其特征在于，步骤2中，每一轮迭代按以下顺序执行：</w:t>
      </w:r>
    </w:p>
    <w:p w14:paraId="7857BE57" w14:textId="77777777" w:rsidR="002D09F7" w:rsidRPr="00AB4080" w:rsidRDefault="00000000">
      <w:pPr>
        <w:adjustRightInd w:val="0"/>
        <w:snapToGrid w:val="0"/>
        <w:ind w:firstLine="560"/>
        <w:jc w:val="left"/>
        <w:rPr>
          <w:rFonts w:ascii="楷体" w:eastAsia="楷体" w:hAnsi="楷体" w:hint="eastAsia"/>
          <w:color w:val="000000" w:themeColor="text1"/>
          <w:sz w:val="28"/>
          <w:highlight w:val="yellow"/>
        </w:rPr>
      </w:pPr>
      <w:r w:rsidRPr="00AB4080">
        <w:rPr>
          <w:rFonts w:ascii="楷体" w:eastAsia="楷体" w:hAnsi="楷体" w:hint="eastAsia"/>
          <w:color w:val="000000" w:themeColor="text1"/>
          <w:sz w:val="28"/>
          <w:highlight w:val="yellow"/>
        </w:rPr>
        <w:t>步骤2-1、进行信息层过载检查：检查信息层节点和信息层链路的当前负载是否超过其容量，超过则使相应节点或链路失效并使信息层拓扑碎片化；</w:t>
      </w:r>
    </w:p>
    <w:p w14:paraId="592E0910" w14:textId="77777777" w:rsidR="002D09F7" w:rsidRPr="00AB4080" w:rsidRDefault="00000000">
      <w:pPr>
        <w:adjustRightInd w:val="0"/>
        <w:snapToGrid w:val="0"/>
        <w:ind w:firstLine="560"/>
        <w:jc w:val="left"/>
        <w:rPr>
          <w:rFonts w:ascii="楷体" w:eastAsia="楷体" w:hAnsi="楷体" w:hint="eastAsia"/>
          <w:color w:val="000000" w:themeColor="text1"/>
          <w:sz w:val="28"/>
          <w:highlight w:val="yellow"/>
        </w:rPr>
      </w:pPr>
      <w:r w:rsidRPr="00AB4080">
        <w:rPr>
          <w:rFonts w:ascii="楷体" w:eastAsia="楷体" w:hAnsi="楷体" w:hint="eastAsia"/>
          <w:color w:val="000000" w:themeColor="text1"/>
          <w:sz w:val="28"/>
          <w:highlight w:val="yellow"/>
        </w:rPr>
        <w:t>步骤2-2、进行逐机组时延评估：在当前受损拓扑上为每台存活发电机寻找到最近存活控制中心的上行路径和下行路径，并计算上行测量通道时延和下行执行通道时延；</w:t>
      </w:r>
    </w:p>
    <w:p w14:paraId="561E9596" w14:textId="77777777" w:rsidR="002D09F7" w:rsidRPr="00AB4080" w:rsidRDefault="00000000">
      <w:pPr>
        <w:adjustRightInd w:val="0"/>
        <w:snapToGrid w:val="0"/>
        <w:ind w:firstLine="560"/>
        <w:jc w:val="left"/>
        <w:rPr>
          <w:rFonts w:ascii="楷体" w:eastAsia="楷体" w:hAnsi="楷体" w:hint="eastAsia"/>
          <w:color w:val="000000" w:themeColor="text1"/>
          <w:sz w:val="28"/>
          <w:highlight w:val="yellow"/>
        </w:rPr>
      </w:pPr>
      <w:r w:rsidRPr="00AB4080">
        <w:rPr>
          <w:rFonts w:ascii="楷体" w:eastAsia="楷体" w:hAnsi="楷体" w:hint="eastAsia"/>
          <w:color w:val="000000" w:themeColor="text1"/>
          <w:sz w:val="28"/>
          <w:highlight w:val="yellow"/>
        </w:rPr>
        <w:t>步骤2-3、进行潮流前出力缩放：第i台发电机的实际出力等于第i台发电机的控制效能因子乘以第i台发电机的计划出力；</w:t>
      </w:r>
    </w:p>
    <w:p w14:paraId="6E5D6F1C" w14:textId="77777777" w:rsidR="002D09F7" w:rsidRPr="00AB4080" w:rsidRDefault="00000000">
      <w:pPr>
        <w:adjustRightInd w:val="0"/>
        <w:snapToGrid w:val="0"/>
        <w:ind w:firstLine="560"/>
        <w:jc w:val="left"/>
        <w:rPr>
          <w:rFonts w:ascii="楷体" w:eastAsia="楷体" w:hAnsi="楷体" w:hint="eastAsia"/>
          <w:color w:val="000000" w:themeColor="text1"/>
          <w:sz w:val="28"/>
          <w:highlight w:val="yellow"/>
        </w:rPr>
      </w:pPr>
      <w:r w:rsidRPr="00AB4080">
        <w:rPr>
          <w:rFonts w:ascii="楷体" w:eastAsia="楷体" w:hAnsi="楷体" w:hint="eastAsia"/>
          <w:color w:val="000000" w:themeColor="text1"/>
          <w:sz w:val="28"/>
          <w:highlight w:val="yellow"/>
        </w:rPr>
        <w:t>步骤2-4、进行直流潮流重分配：节点注入功率向量等于电纳矩阵乘以节点电压相角向量，求解后得到本轮支路潮流，由平衡机吸收不平衡功率；</w:t>
      </w:r>
    </w:p>
    <w:p w14:paraId="117C7A4A" w14:textId="77777777" w:rsidR="002D09F7" w:rsidRDefault="00000000">
      <w:pPr>
        <w:adjustRightInd w:val="0"/>
        <w:snapToGrid w:val="0"/>
        <w:ind w:firstLine="560"/>
        <w:jc w:val="left"/>
        <w:rPr>
          <w:rFonts w:ascii="楷体" w:eastAsia="楷体" w:hAnsi="楷体" w:hint="eastAsia"/>
          <w:color w:val="000000" w:themeColor="text1"/>
          <w:sz w:val="28"/>
        </w:rPr>
      </w:pPr>
      <w:r w:rsidRPr="00AB4080">
        <w:rPr>
          <w:rFonts w:ascii="楷体" w:eastAsia="楷体" w:hAnsi="楷体" w:hint="eastAsia"/>
          <w:color w:val="000000" w:themeColor="text1"/>
          <w:sz w:val="28"/>
          <w:highlight w:val="yellow"/>
        </w:rPr>
        <w:t>步骤2-5、进行时延耦合低频减载：减载深度等于最大减载深度乘以一与低频减载参考时延阈值的比值中较小者的函数，该比值为当前平均时延除以低频减载参考时延阈值，且当当前平均时延为零时退化为常规单级减载。</w:t>
      </w:r>
    </w:p>
    <w:p w14:paraId="6F6C18C2"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10、根据权利要求1所述的方法，其特征在于，所述步骤3中，所述供给守恒比等于功率折减系数乘以存活负荷的初始功率之和除以全部负荷的初始功率之和，所述功率折减系数取一与所有发电机实际出力之和除以所有发电机计划出力之和的商中的较小值；所述调度保真误差等于以下量的平方根：对每台存活发电机，以其额定容量乘以该发电机的实际出力与其计划出力的差的平方再除以其计划出力的平方，将所有存活发电机的上述值求和后除以全部发电机额定容量之和。</w:t>
      </w:r>
    </w:p>
    <w:p w14:paraId="20FECD4E"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11、根据权利要求1所述的方法，其特征在于，所述步骤3中，所述敏</w:t>
      </w:r>
      <w:r>
        <w:rPr>
          <w:rFonts w:ascii="楷体" w:eastAsia="楷体" w:hAnsi="楷体" w:hint="eastAsia"/>
          <w:color w:val="000000" w:themeColor="text1"/>
          <w:sz w:val="28"/>
        </w:rPr>
        <w:lastRenderedPageBreak/>
        <w:t>感性分析以最严重时延场景为基线，对链路带宽、端点处理时延、中继转发时延、现场测量接口时延、现场执行接口时延分别施加单参数缓解动作，以恢复度度量各时延分量的恢复贡献，所述恢复度等于施加单参数缓解动作后的供给守恒比减去最严重时延场景下的供给守恒比的差，除以无时延场景下的供给守恒比减去最严重时延场景下的供给守恒比的差；并在由迭代轮次和容忍裕度构成的平面上计算逐轮时延惩罚以确定早期干预窗口。</w:t>
      </w:r>
    </w:p>
    <w:p w14:paraId="6A16E281" w14:textId="77777777" w:rsidR="002D09F7" w:rsidRDefault="00000000">
      <w:pPr>
        <w:adjustRightInd w:val="0"/>
        <w:snapToGrid w:val="0"/>
        <w:ind w:firstLine="560"/>
        <w:jc w:val="left"/>
        <w:rPr>
          <w:rFonts w:ascii="楷体" w:eastAsia="楷体" w:hAnsi="楷体" w:hint="eastAsia"/>
          <w:color w:val="000000" w:themeColor="text1"/>
          <w:sz w:val="28"/>
          <w:szCs w:val="28"/>
        </w:rPr>
      </w:pPr>
      <w:r>
        <w:rPr>
          <w:rFonts w:ascii="楷体" w:eastAsia="楷体" w:hAnsi="楷体" w:hint="eastAsia"/>
          <w:color w:val="000000" w:themeColor="text1"/>
          <w:sz w:val="28"/>
        </w:rPr>
        <w:t>12、根据权利要求1所述的方法，其特征在于，所述级联失效由移除信息层中结构重要度最高的非控制中心节点触发。</w:t>
      </w:r>
    </w:p>
    <w:sectPr w:rsidR="002D09F7">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feng xu" w:date="2026-07-23T11:17:00Z" w:initials="jx">
    <w:p w14:paraId="0E58E9D8" w14:textId="77777777" w:rsidR="00670226" w:rsidRDefault="00670226" w:rsidP="00670226">
      <w:pPr>
        <w:pStyle w:val="a3"/>
      </w:pPr>
      <w:r>
        <w:rPr>
          <w:rStyle w:val="af3"/>
        </w:rPr>
        <w:annotationRef/>
      </w:r>
      <w:r>
        <w:rPr>
          <w:rFonts w:hint="eastAsia"/>
        </w:rPr>
        <w:t>1</w:t>
      </w:r>
      <w:r>
        <w:rPr>
          <w:rFonts w:hint="eastAsia"/>
        </w:rPr>
        <w:t>、首先确认这个级联生效模型是不是就是</w:t>
      </w:r>
      <w:r>
        <w:rPr>
          <w:rFonts w:hint="eastAsia"/>
          <w:color w:val="000000"/>
        </w:rPr>
        <w:t>信息物理电力系统的双层耦合模型？如果不是这个</w:t>
      </w:r>
      <w:r>
        <w:rPr>
          <w:rFonts w:hint="eastAsia"/>
        </w:rPr>
        <w:t>级联生效模型具体是怎么样的？</w:t>
      </w:r>
    </w:p>
  </w:comment>
  <w:comment w:id="1" w:author="junfeng xu" w:date="2026-07-23T11:18:00Z" w:initials="jx">
    <w:p w14:paraId="68392B01" w14:textId="77777777" w:rsidR="00670226" w:rsidRDefault="00670226" w:rsidP="00670226">
      <w:pPr>
        <w:pStyle w:val="a3"/>
      </w:pPr>
      <w:r>
        <w:rPr>
          <w:rStyle w:val="af3"/>
        </w:rPr>
        <w:annotationRef/>
      </w:r>
      <w:r>
        <w:rPr>
          <w:rFonts w:hint="eastAsia"/>
        </w:rPr>
        <w:t>这句描述有问题，实则是将通信时延切入到这个级联生效模型中，具体是怎么嵌入的？</w:t>
      </w:r>
    </w:p>
  </w:comment>
  <w:comment w:id="2" w:author="junfeng xu" w:date="2026-07-23T11:25:00Z" w:initials="jx">
    <w:p w14:paraId="3815B50E" w14:textId="77777777" w:rsidR="00AB4080" w:rsidRDefault="00AB4080" w:rsidP="00AB4080">
      <w:pPr>
        <w:pStyle w:val="a3"/>
      </w:pPr>
      <w:r>
        <w:rPr>
          <w:rStyle w:val="af3"/>
        </w:rPr>
        <w:annotationRef/>
      </w:r>
      <w:r>
        <w:rPr>
          <w:rFonts w:hint="eastAsia"/>
        </w:rPr>
        <w:t>这部分内容应该是对如级联失效模型怎么进行迭代仿真的具体描述，但是上面提到迭代仿真是通过</w:t>
      </w:r>
      <w:r>
        <w:rPr>
          <w:rFonts w:hint="eastAsia"/>
        </w:rPr>
        <w:t>5</w:t>
      </w:r>
      <w:r>
        <w:rPr>
          <w:rFonts w:hint="eastAsia"/>
        </w:rPr>
        <w:t>个子步骤实现的，也就是说这部分内容应该和</w:t>
      </w:r>
      <w:r>
        <w:rPr>
          <w:rFonts w:hint="eastAsia"/>
        </w:rPr>
        <w:t>5</w:t>
      </w:r>
      <w:r>
        <w:rPr>
          <w:rFonts w:hint="eastAsia"/>
        </w:rPr>
        <w:t>个子步骤相对应，所以需要将这部分内容分别与</w:t>
      </w:r>
      <w:r>
        <w:rPr>
          <w:rFonts w:hint="eastAsia"/>
        </w:rPr>
        <w:t>5</w:t>
      </w:r>
      <w:r>
        <w:rPr>
          <w:rFonts w:hint="eastAsia"/>
        </w:rPr>
        <w:t>个子步骤对应起来（需要注意的是：后面权利要求</w:t>
      </w:r>
      <w:r>
        <w:rPr>
          <w:rFonts w:hint="eastAsia"/>
        </w:rPr>
        <w:t>9</w:t>
      </w:r>
      <w:r>
        <w:rPr>
          <w:rFonts w:hint="eastAsia"/>
        </w:rPr>
        <w:t>中对</w:t>
      </w:r>
      <w:r>
        <w:rPr>
          <w:rFonts w:hint="eastAsia"/>
        </w:rPr>
        <w:t>5</w:t>
      </w:r>
      <w:r>
        <w:rPr>
          <w:rFonts w:hint="eastAsia"/>
        </w:rPr>
        <w:t>个子步骤的绝体实现方法作了进一步的描述）按道理这部分内容应该和权利要求</w:t>
      </w:r>
      <w:r>
        <w:rPr>
          <w:rFonts w:hint="eastAsia"/>
        </w:rPr>
        <w:t>5</w:t>
      </w:r>
      <w:r>
        <w:rPr>
          <w:rFonts w:hint="eastAsia"/>
        </w:rPr>
        <w:t>的内容一样，但是显然这部分内容与权利要求</w:t>
      </w:r>
      <w:r>
        <w:rPr>
          <w:rFonts w:hint="eastAsia"/>
        </w:rPr>
        <w:t>9</w:t>
      </w:r>
      <w:r>
        <w:rPr>
          <w:rFonts w:hint="eastAsia"/>
        </w:rPr>
        <w:t>中记载的内容不一样，所以看一下怎么调整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58E9D8" w15:done="0"/>
  <w15:commentEx w15:paraId="68392B01" w15:done="0"/>
  <w15:commentEx w15:paraId="3815B5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305F76" w16cex:dateUtc="2026-07-23T03:17:00Z"/>
  <w16cex:commentExtensible w16cex:durableId="7CC5B370" w16cex:dateUtc="2026-07-23T03:18:00Z"/>
  <w16cex:commentExtensible w16cex:durableId="475011C9" w16cex:dateUtc="2026-07-23T0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58E9D8" w16cid:durableId="37305F76"/>
  <w16cid:commentId w16cid:paraId="68392B01" w16cid:durableId="7CC5B370"/>
  <w16cid:commentId w16cid:paraId="3815B50E" w16cid:durableId="47501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F134F" w14:textId="77777777" w:rsidR="00AA28D0" w:rsidRDefault="00AA28D0">
      <w:pPr>
        <w:spacing w:line="240" w:lineRule="auto"/>
        <w:ind w:firstLine="480"/>
      </w:pPr>
      <w:r>
        <w:separator/>
      </w:r>
    </w:p>
  </w:endnote>
  <w:endnote w:type="continuationSeparator" w:id="0">
    <w:p w14:paraId="358A1EA1" w14:textId="77777777" w:rsidR="00AA28D0" w:rsidRDefault="00AA28D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3729" w14:textId="77777777" w:rsidR="002D09F7" w:rsidRDefault="002D09F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A9EB" w14:textId="77777777" w:rsidR="002D09F7" w:rsidRDefault="00000000">
    <w:pPr>
      <w:pStyle w:val="ab"/>
      <w:pBdr>
        <w:top w:val="single" w:sz="4" w:space="1" w:color="auto"/>
      </w:pBdr>
      <w:spacing w:line="200" w:lineRule="exact"/>
      <w:ind w:firstLineChars="0"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9A81" w14:textId="77777777" w:rsidR="002D09F7" w:rsidRDefault="002D09F7">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07455" w14:textId="77777777" w:rsidR="00AA28D0" w:rsidRDefault="00AA28D0">
      <w:pPr>
        <w:ind w:firstLine="480"/>
      </w:pPr>
      <w:r>
        <w:separator/>
      </w:r>
    </w:p>
  </w:footnote>
  <w:footnote w:type="continuationSeparator" w:id="0">
    <w:p w14:paraId="56FC741E" w14:textId="77777777" w:rsidR="00AA28D0" w:rsidRDefault="00AA28D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FB86" w14:textId="77777777" w:rsidR="002D09F7" w:rsidRDefault="002D09F7">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1D6D" w14:textId="77777777" w:rsidR="002D09F7" w:rsidRDefault="00000000">
    <w:pPr>
      <w:pBdr>
        <w:bottom w:val="single" w:sz="4" w:space="1" w:color="auto"/>
      </w:pBdr>
      <w:ind w:firstLineChars="0" w:firstLine="0"/>
      <w:jc w:val="center"/>
      <w:outlineLvl w:val="0"/>
      <w:rPr>
        <w:szCs w:val="28"/>
      </w:rPr>
    </w:pPr>
    <w:r>
      <w:rPr>
        <w:rFonts w:hint="eastAsia"/>
        <w:b/>
        <w:bCs/>
        <w:sz w:val="32"/>
        <w:szCs w:val="28"/>
      </w:rPr>
      <w:t>权</w:t>
    </w:r>
    <w:r>
      <w:rPr>
        <w:rFonts w:hint="eastAsia"/>
        <w:b/>
        <w:bCs/>
        <w:sz w:val="32"/>
        <w:szCs w:val="28"/>
      </w:rPr>
      <w:t xml:space="preserve">   </w:t>
    </w:r>
    <w:r>
      <w:rPr>
        <w:rFonts w:hint="eastAsia"/>
        <w:b/>
        <w:bCs/>
        <w:sz w:val="32"/>
        <w:szCs w:val="28"/>
      </w:rPr>
      <w:t>利</w:t>
    </w:r>
    <w:r>
      <w:rPr>
        <w:rFonts w:hint="eastAsia"/>
        <w:b/>
        <w:bCs/>
        <w:sz w:val="32"/>
        <w:szCs w:val="28"/>
      </w:rPr>
      <w:t xml:space="preserve">   </w:t>
    </w:r>
    <w:r>
      <w:rPr>
        <w:rFonts w:hint="eastAsia"/>
        <w:b/>
        <w:bCs/>
        <w:sz w:val="32"/>
        <w:szCs w:val="28"/>
      </w:rPr>
      <w:t>要</w:t>
    </w:r>
    <w:r>
      <w:rPr>
        <w:rFonts w:hint="eastAsia"/>
        <w:b/>
        <w:bCs/>
        <w:sz w:val="32"/>
        <w:szCs w:val="28"/>
      </w:rPr>
      <w:t xml:space="preserve">   </w:t>
    </w:r>
    <w:r>
      <w:rPr>
        <w:rFonts w:hint="eastAsia"/>
        <w:b/>
        <w:bCs/>
        <w:sz w:val="32"/>
        <w:szCs w:val="28"/>
      </w:rPr>
      <w:t>求</w:t>
    </w:r>
    <w:r>
      <w:rPr>
        <w:rFonts w:hint="eastAsia"/>
        <w:b/>
        <w:bCs/>
        <w:sz w:val="32"/>
        <w:szCs w:val="28"/>
      </w:rPr>
      <w:t xml:space="preserve">   </w:t>
    </w:r>
    <w:r>
      <w:rPr>
        <w:rFonts w:hint="eastAsia"/>
        <w:b/>
        <w:bCs/>
        <w:sz w:val="32"/>
        <w:szCs w:val="28"/>
      </w:rPr>
      <w:t>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EA77" w14:textId="77777777" w:rsidR="002D09F7" w:rsidRDefault="002D09F7">
    <w:pPr>
      <w:pStyle w:val="ad"/>
      <w:ind w:firstLine="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5F13"/>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3C5"/>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B53"/>
    <w:rsid w:val="000D5E04"/>
    <w:rsid w:val="000D6380"/>
    <w:rsid w:val="000D6F07"/>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2A99"/>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2D7F"/>
    <w:rsid w:val="002C3453"/>
    <w:rsid w:val="002C3F8F"/>
    <w:rsid w:val="002C762A"/>
    <w:rsid w:val="002D0350"/>
    <w:rsid w:val="002D09F7"/>
    <w:rsid w:val="002D17BF"/>
    <w:rsid w:val="002D26F1"/>
    <w:rsid w:val="002D5018"/>
    <w:rsid w:val="002D6A64"/>
    <w:rsid w:val="002E0DDF"/>
    <w:rsid w:val="002E41D0"/>
    <w:rsid w:val="002E5627"/>
    <w:rsid w:val="002E725A"/>
    <w:rsid w:val="002E7803"/>
    <w:rsid w:val="002F0AAC"/>
    <w:rsid w:val="002F3665"/>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6ACC"/>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40F5"/>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6831"/>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7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4416"/>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B5C"/>
    <w:rsid w:val="00654EA2"/>
    <w:rsid w:val="00655166"/>
    <w:rsid w:val="0065609C"/>
    <w:rsid w:val="00656FFB"/>
    <w:rsid w:val="00657070"/>
    <w:rsid w:val="006660E8"/>
    <w:rsid w:val="00670226"/>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18D"/>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0188"/>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353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545"/>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8D0"/>
    <w:rsid w:val="00AA2F2E"/>
    <w:rsid w:val="00AA30FF"/>
    <w:rsid w:val="00AA48F7"/>
    <w:rsid w:val="00AA4F1B"/>
    <w:rsid w:val="00AA602C"/>
    <w:rsid w:val="00AB1352"/>
    <w:rsid w:val="00AB164E"/>
    <w:rsid w:val="00AB239A"/>
    <w:rsid w:val="00AB4080"/>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B88"/>
    <w:rsid w:val="00B52CC6"/>
    <w:rsid w:val="00B54B2D"/>
    <w:rsid w:val="00B57BCD"/>
    <w:rsid w:val="00B60D61"/>
    <w:rsid w:val="00B616F2"/>
    <w:rsid w:val="00B62A4F"/>
    <w:rsid w:val="00B62A7E"/>
    <w:rsid w:val="00B64173"/>
    <w:rsid w:val="00B646B2"/>
    <w:rsid w:val="00B66CFE"/>
    <w:rsid w:val="00B66EF4"/>
    <w:rsid w:val="00B6713A"/>
    <w:rsid w:val="00B714C2"/>
    <w:rsid w:val="00B72293"/>
    <w:rsid w:val="00B72724"/>
    <w:rsid w:val="00B739A5"/>
    <w:rsid w:val="00B758B3"/>
    <w:rsid w:val="00B76F41"/>
    <w:rsid w:val="00B77990"/>
    <w:rsid w:val="00B80008"/>
    <w:rsid w:val="00B90986"/>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933"/>
    <w:rsid w:val="00BD2E98"/>
    <w:rsid w:val="00BD30A9"/>
    <w:rsid w:val="00BD75EF"/>
    <w:rsid w:val="00BE1D4A"/>
    <w:rsid w:val="00BE6222"/>
    <w:rsid w:val="00BE6A45"/>
    <w:rsid w:val="00BF0C52"/>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2C07"/>
    <w:rsid w:val="00D45992"/>
    <w:rsid w:val="00D4726B"/>
    <w:rsid w:val="00D47AAF"/>
    <w:rsid w:val="00D557C9"/>
    <w:rsid w:val="00D561E4"/>
    <w:rsid w:val="00D565C6"/>
    <w:rsid w:val="00D63AC5"/>
    <w:rsid w:val="00D63FF5"/>
    <w:rsid w:val="00D64F72"/>
    <w:rsid w:val="00D652F9"/>
    <w:rsid w:val="00D65BF5"/>
    <w:rsid w:val="00D65DA9"/>
    <w:rsid w:val="00D70448"/>
    <w:rsid w:val="00D73458"/>
    <w:rsid w:val="00D74EC3"/>
    <w:rsid w:val="00D757D6"/>
    <w:rsid w:val="00D80E0F"/>
    <w:rsid w:val="00D82F9C"/>
    <w:rsid w:val="00D842E5"/>
    <w:rsid w:val="00D857B3"/>
    <w:rsid w:val="00D86676"/>
    <w:rsid w:val="00D86C25"/>
    <w:rsid w:val="00D90FF3"/>
    <w:rsid w:val="00D91184"/>
    <w:rsid w:val="00D91E52"/>
    <w:rsid w:val="00D93431"/>
    <w:rsid w:val="00D9345D"/>
    <w:rsid w:val="00D93F1A"/>
    <w:rsid w:val="00D94EDE"/>
    <w:rsid w:val="00D95A97"/>
    <w:rsid w:val="00D9792E"/>
    <w:rsid w:val="00DA147E"/>
    <w:rsid w:val="00DA1CFB"/>
    <w:rsid w:val="00DA20E0"/>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53F1"/>
    <w:rsid w:val="00E4682C"/>
    <w:rsid w:val="00E62A84"/>
    <w:rsid w:val="00E6512A"/>
    <w:rsid w:val="00E65AE5"/>
    <w:rsid w:val="00E6663E"/>
    <w:rsid w:val="00E76344"/>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47AAC"/>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3E854D4E"/>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CCF20"/>
  <w15:docId w15:val="{B845D327-49C4-4945-95C9-2255E5779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spacing w:line="240" w:lineRule="auto"/>
      <w:ind w:firstLineChars="0" w:firstLine="0"/>
      <w:jc w:val="left"/>
    </w:pPr>
    <w:rPr>
      <w:kern w:val="2"/>
      <w:sz w:val="21"/>
    </w:rPr>
  </w:style>
  <w:style w:type="paragraph" w:styleId="a5">
    <w:name w:val="Body Text"/>
    <w:basedOn w:val="a"/>
    <w:link w:val="a6"/>
    <w:qFormat/>
    <w:rPr>
      <w:rFonts w:eastAsia="楷体_GB2312"/>
      <w:sz w:val="28"/>
      <w:lang w:val="zh-CN"/>
    </w:rPr>
  </w:style>
  <w:style w:type="paragraph" w:styleId="a7">
    <w:name w:val="Body Text Indent"/>
    <w:basedOn w:val="a"/>
    <w:link w:val="a8"/>
    <w:unhideWhenUsed/>
    <w:qFormat/>
    <w:pPr>
      <w:spacing w:after="120"/>
      <w:ind w:leftChars="200" w:left="420"/>
    </w:pPr>
    <w:rPr>
      <w:lang w:val="zh-CN"/>
    </w:rPr>
  </w:style>
  <w:style w:type="paragraph" w:styleId="a9">
    <w:name w:val="Balloon Text"/>
    <w:basedOn w:val="a"/>
    <w:link w:val="aa"/>
    <w:semiHidden/>
    <w:unhideWhenUsed/>
    <w:qFormat/>
    <w:pPr>
      <w:spacing w:line="240" w:lineRule="auto"/>
    </w:pPr>
    <w:rPr>
      <w:sz w:val="18"/>
      <w:szCs w:val="18"/>
    </w:rPr>
  </w:style>
  <w:style w:type="paragraph" w:styleId="ab">
    <w:name w:val="footer"/>
    <w:basedOn w:val="a"/>
    <w:link w:val="ac"/>
    <w:qFormat/>
    <w:pPr>
      <w:tabs>
        <w:tab w:val="center" w:pos="4153"/>
        <w:tab w:val="right" w:pos="8306"/>
      </w:tabs>
      <w:snapToGrid w:val="0"/>
      <w:jc w:val="left"/>
    </w:pPr>
    <w:rPr>
      <w:rFonts w:eastAsia="楷体_GB2312"/>
      <w:sz w:val="18"/>
      <w:lang w:val="zh-CN"/>
    </w:rPr>
  </w:style>
  <w:style w:type="paragraph" w:styleId="ad">
    <w:name w:val="header"/>
    <w:basedOn w:val="a"/>
    <w:link w:val="ae"/>
    <w:qFormat/>
    <w:pPr>
      <w:tabs>
        <w:tab w:val="center" w:pos="4153"/>
        <w:tab w:val="right" w:pos="8306"/>
      </w:tabs>
      <w:snapToGrid w:val="0"/>
      <w:jc w:val="center"/>
    </w:pPr>
    <w:rPr>
      <w:rFonts w:eastAsia="楷体_GB2312"/>
      <w:sz w:val="18"/>
      <w:szCs w:val="18"/>
      <w:lang w:val="zh-CN"/>
    </w:rPr>
  </w:style>
  <w:style w:type="paragraph" w:styleId="af">
    <w:name w:val="annotation subject"/>
    <w:basedOn w:val="a3"/>
    <w:next w:val="a3"/>
    <w:link w:val="af0"/>
    <w:uiPriority w:val="99"/>
    <w:semiHidden/>
    <w:unhideWhenUsed/>
    <w:rPr>
      <w:b/>
      <w:bCs/>
    </w:rPr>
  </w:style>
  <w:style w:type="character" w:styleId="af1">
    <w:name w:val="Strong"/>
    <w:qFormat/>
    <w:rPr>
      <w:b/>
      <w:bCs/>
    </w:rPr>
  </w:style>
  <w:style w:type="character" w:styleId="af2">
    <w:name w:val="page number"/>
    <w:basedOn w:val="a0"/>
    <w:qFormat/>
  </w:style>
  <w:style w:type="character" w:styleId="af3">
    <w:name w:val="annotation reference"/>
    <w:basedOn w:val="a0"/>
    <w:uiPriority w:val="99"/>
    <w:semiHidden/>
    <w:unhideWhenUsed/>
    <w:rPr>
      <w:sz w:val="21"/>
      <w:szCs w:val="21"/>
    </w:rPr>
  </w:style>
  <w:style w:type="character" w:customStyle="1" w:styleId="ac">
    <w:name w:val="页脚 字符"/>
    <w:link w:val="ab"/>
    <w:qFormat/>
    <w:rPr>
      <w:rFonts w:ascii="Times New Roman" w:eastAsia="楷体_GB2312" w:hAnsi="Times New Roman" w:cs="Times New Roman"/>
      <w:kern w:val="28"/>
      <w:sz w:val="18"/>
      <w:szCs w:val="20"/>
    </w:rPr>
  </w:style>
  <w:style w:type="character" w:customStyle="1" w:styleId="10">
    <w:name w:val="标题 1 字符"/>
    <w:link w:val="1"/>
    <w:qFormat/>
    <w:rPr>
      <w:rFonts w:ascii="Arial" w:eastAsia="楷体_GB2312" w:hAnsi="Arial" w:cs="Arial"/>
      <w:b/>
      <w:bCs/>
      <w:kern w:val="28"/>
      <w:sz w:val="18"/>
      <w:szCs w:val="28"/>
    </w:rPr>
  </w:style>
  <w:style w:type="character" w:customStyle="1" w:styleId="ae">
    <w:name w:val="页眉 字符"/>
    <w:link w:val="ad"/>
    <w:qFormat/>
    <w:rPr>
      <w:rFonts w:ascii="Times New Roman" w:eastAsia="楷体_GB2312" w:hAnsi="Times New Roman" w:cs="Times New Roman"/>
      <w:kern w:val="28"/>
      <w:sz w:val="18"/>
      <w:szCs w:val="18"/>
    </w:rPr>
  </w:style>
  <w:style w:type="character" w:customStyle="1" w:styleId="a8">
    <w:name w:val="正文文本缩进 字符"/>
    <w:link w:val="a7"/>
    <w:uiPriority w:val="99"/>
    <w:semiHidden/>
    <w:qFormat/>
    <w:rPr>
      <w:rFonts w:ascii="Times New Roman" w:hAnsi="Times New Roman"/>
      <w:kern w:val="28"/>
      <w:sz w:val="24"/>
    </w:rPr>
  </w:style>
  <w:style w:type="character" w:customStyle="1" w:styleId="a6">
    <w:name w:val="正文文本 字符"/>
    <w:link w:val="a5"/>
    <w:qFormat/>
    <w:rPr>
      <w:rFonts w:ascii="Times New Roman" w:eastAsia="楷体_GB2312" w:hAnsi="Times New Roman" w:cs="Times New Roman"/>
      <w:kern w:val="28"/>
      <w:sz w:val="28"/>
      <w:szCs w:val="20"/>
    </w:rPr>
  </w:style>
  <w:style w:type="paragraph" w:customStyle="1" w:styleId="p0">
    <w:name w:val="p0"/>
    <w:basedOn w:val="a"/>
    <w:qFormat/>
    <w:pPr>
      <w:widowControl/>
      <w:spacing w:line="240" w:lineRule="auto"/>
      <w:ind w:firstLineChars="0" w:firstLine="0"/>
    </w:pPr>
    <w:rPr>
      <w:rFonts w:ascii="宋体" w:hAnsi="宋体" w:cs="宋体"/>
      <w:b/>
      <w:bCs/>
      <w:kern w:val="0"/>
      <w:szCs w:val="24"/>
    </w:rPr>
  </w:style>
  <w:style w:type="paragraph" w:customStyle="1" w:styleId="af4">
    <w:name w:val="È±Ê¡ÎÄ±¾"/>
    <w:basedOn w:val="a"/>
    <w:qFormat/>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pPr>
      <w:widowControl/>
      <w:spacing w:after="160" w:line="240" w:lineRule="exact"/>
      <w:ind w:firstLineChars="0" w:firstLine="0"/>
      <w:jc w:val="left"/>
    </w:pPr>
    <w:rPr>
      <w:rFonts w:ascii="Verdana" w:hAnsi="Verdana"/>
      <w:kern w:val="0"/>
      <w:sz w:val="20"/>
      <w:lang w:eastAsia="en-US"/>
    </w:rPr>
  </w:style>
  <w:style w:type="character" w:styleId="af5">
    <w:name w:val="Placeholder Text"/>
    <w:basedOn w:val="a0"/>
    <w:uiPriority w:val="99"/>
    <w:semiHidden/>
    <w:qFormat/>
    <w:rPr>
      <w:color w:val="808080"/>
    </w:rPr>
  </w:style>
  <w:style w:type="character" w:customStyle="1" w:styleId="aa">
    <w:name w:val="批注框文本 字符"/>
    <w:basedOn w:val="a0"/>
    <w:link w:val="a9"/>
    <w:uiPriority w:val="99"/>
    <w:semiHidden/>
    <w:qFormat/>
    <w:rPr>
      <w:rFonts w:ascii="Times New Roman" w:hAnsi="Times New Roman"/>
      <w:kern w:val="28"/>
      <w:sz w:val="18"/>
      <w:szCs w:val="18"/>
    </w:rPr>
  </w:style>
  <w:style w:type="paragraph" w:styleId="af6">
    <w:name w:val="List Paragraph"/>
    <w:basedOn w:val="a"/>
    <w:uiPriority w:val="99"/>
    <w:qFormat/>
    <w:pPr>
      <w:ind w:firstLine="420"/>
    </w:pPr>
  </w:style>
  <w:style w:type="character" w:customStyle="1" w:styleId="a4">
    <w:name w:val="批注文字 字符"/>
    <w:basedOn w:val="a0"/>
    <w:link w:val="a3"/>
    <w:uiPriority w:val="99"/>
    <w:qFormat/>
    <w:rPr>
      <w:rFonts w:ascii="Times New Roman" w:hAnsi="Times New Roman"/>
      <w:kern w:val="2"/>
      <w:sz w:val="21"/>
    </w:rPr>
  </w:style>
  <w:style w:type="character" w:customStyle="1" w:styleId="af0">
    <w:name w:val="批注主题 字符"/>
    <w:basedOn w:val="a4"/>
    <w:link w:val="af"/>
    <w:uiPriority w:val="99"/>
    <w:semiHidden/>
    <w:qFormat/>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4</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212</cp:revision>
  <dcterms:created xsi:type="dcterms:W3CDTF">2023-11-14T09:22:00Z</dcterms:created>
  <dcterms:modified xsi:type="dcterms:W3CDTF">2026-07-23T03:26:00Z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EDC325958CEF4F959FF1FFC7121D88A5_13</vt:lpwstr>
  </property>
  <property fmtid="{D5CDD505-2E9C-101B-9397-08002B2CF9AE}" pid="4" name="KSOTemplateDocerSaveRecord">
    <vt:lpwstr>eyJoZGlkIjoiZTUwZGJhYmE3ODE3YTE0YTQ0NmQxNzU1MzAyYmNmNmUiLCJ1c2VySWQiOiIxMDY3MTYwMjgwIn0=</vt:lpwstr>
  </property>
</Properties>
</file>