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90FE" w14:textId="168DCDB0" w:rsidR="0011473F" w:rsidRPr="00805963" w:rsidRDefault="004617D3" w:rsidP="004E3C5B">
      <w:pPr>
        <w:adjustRightInd w:val="0"/>
        <w:snapToGrid w:val="0"/>
        <w:ind w:firstLine="560"/>
        <w:jc w:val="center"/>
        <w:rPr>
          <w:rFonts w:ascii="楷体" w:eastAsia="楷体" w:hAnsi="楷体" w:hint="eastAsia"/>
          <w:b/>
          <w:color w:val="000000" w:themeColor="text1"/>
          <w:sz w:val="28"/>
          <w:szCs w:val="28"/>
        </w:rPr>
      </w:pPr>
      <w:r w:rsidRPr="004617D3">
        <w:rPr>
          <w:rFonts w:ascii="楷体" w:eastAsia="楷体" w:hAnsi="楷体"/>
          <w:color w:val="000000" w:themeColor="text1"/>
          <w:sz w:val="28"/>
          <w:szCs w:val="28"/>
        </w:rPr>
        <w:t>一种时延内生闭环的信息物理电力系统级联失效评估方法</w:t>
      </w:r>
    </w:p>
    <w:p w14:paraId="402C46B3"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r w:rsidRPr="00805963">
        <w:rPr>
          <w:rFonts w:ascii="楷体" w:eastAsia="楷体" w:hAnsi="楷体"/>
          <w:b/>
          <w:color w:val="000000" w:themeColor="text1"/>
          <w:sz w:val="28"/>
          <w:szCs w:val="28"/>
        </w:rPr>
        <w:t>技术领域</w:t>
      </w:r>
    </w:p>
    <w:p w14:paraId="7DA1268D" w14:textId="59188B5D" w:rsidR="0011473F" w:rsidRPr="00805963" w:rsidRDefault="0011473F" w:rsidP="004E3C5B">
      <w:pPr>
        <w:adjustRightInd w:val="0"/>
        <w:snapToGrid w:val="0"/>
        <w:ind w:firstLine="560"/>
        <w:rPr>
          <w:rFonts w:ascii="楷体" w:eastAsia="楷体" w:hAnsi="楷体" w:hint="eastAsia"/>
          <w:color w:val="000000" w:themeColor="text1"/>
          <w:sz w:val="28"/>
          <w:szCs w:val="28"/>
        </w:rPr>
      </w:pPr>
      <w:r w:rsidRPr="00805963">
        <w:rPr>
          <w:rFonts w:ascii="楷体" w:eastAsia="楷体" w:hAnsi="楷体" w:hint="eastAsia"/>
          <w:color w:val="000000" w:themeColor="text1"/>
          <w:sz w:val="28"/>
          <w:szCs w:val="28"/>
        </w:rPr>
        <w:t>本发明</w:t>
      </w:r>
      <w:r w:rsidR="005C5C2D" w:rsidRPr="00805963">
        <w:rPr>
          <w:rFonts w:ascii="楷体" w:eastAsia="楷体" w:hAnsi="楷体" w:hint="eastAsia"/>
          <w:color w:val="000000" w:themeColor="text1"/>
          <w:sz w:val="28"/>
          <w:szCs w:val="28"/>
        </w:rPr>
        <w:t>涉及</w:t>
      </w:r>
      <w:r w:rsidR="003726EF" w:rsidRPr="003726EF">
        <w:rPr>
          <w:rFonts w:ascii="楷体" w:eastAsia="楷体" w:hAnsi="楷体"/>
          <w:color w:val="000000" w:themeColor="text1"/>
          <w:sz w:val="28"/>
          <w:szCs w:val="28"/>
        </w:rPr>
        <w:t>信息物理电力系统鲁棒性评估</w:t>
      </w:r>
      <w:r w:rsidR="003726EF">
        <w:rPr>
          <w:rFonts w:ascii="楷体" w:eastAsia="楷体" w:hAnsi="楷体" w:hint="eastAsia"/>
          <w:color w:val="000000" w:themeColor="text1"/>
          <w:sz w:val="28"/>
          <w:szCs w:val="28"/>
        </w:rPr>
        <w:t>技术</w:t>
      </w:r>
      <w:r w:rsidR="005C5C2D" w:rsidRPr="00805963">
        <w:rPr>
          <w:rFonts w:ascii="楷体" w:eastAsia="楷体" w:hAnsi="楷体" w:hint="eastAsia"/>
          <w:color w:val="000000" w:themeColor="text1"/>
          <w:sz w:val="28"/>
          <w:szCs w:val="28"/>
        </w:rPr>
        <w:t>领域</w:t>
      </w:r>
      <w:r w:rsidRPr="00805963">
        <w:rPr>
          <w:rFonts w:ascii="楷体" w:eastAsia="楷体" w:hAnsi="楷体" w:hint="eastAsia"/>
          <w:color w:val="000000" w:themeColor="text1"/>
          <w:sz w:val="28"/>
          <w:szCs w:val="28"/>
        </w:rPr>
        <w:t>，具体是</w:t>
      </w:r>
      <w:r w:rsidR="003726EF" w:rsidRPr="003726EF">
        <w:rPr>
          <w:rFonts w:ascii="楷体" w:eastAsia="楷体" w:hAnsi="楷体"/>
          <w:color w:val="000000" w:themeColor="text1"/>
          <w:sz w:val="28"/>
          <w:szCs w:val="28"/>
        </w:rPr>
        <w:t>一种时延内生闭环的信息物理电力系统级联失效评估方法</w:t>
      </w:r>
      <w:r w:rsidRPr="00805963">
        <w:rPr>
          <w:rFonts w:ascii="楷体" w:eastAsia="楷体" w:hAnsi="楷体" w:hint="eastAsia"/>
          <w:color w:val="000000" w:themeColor="text1"/>
          <w:sz w:val="28"/>
          <w:szCs w:val="28"/>
        </w:rPr>
        <w:t>。</w:t>
      </w:r>
    </w:p>
    <w:p w14:paraId="2A50F426"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p>
    <w:p w14:paraId="7EB31245"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r w:rsidRPr="00805963">
        <w:rPr>
          <w:rFonts w:ascii="楷体" w:eastAsia="楷体" w:hAnsi="楷体"/>
          <w:b/>
          <w:color w:val="000000" w:themeColor="text1"/>
          <w:sz w:val="28"/>
          <w:szCs w:val="28"/>
        </w:rPr>
        <w:t>背景技术</w:t>
      </w:r>
    </w:p>
    <w:p w14:paraId="4442DE71" w14:textId="77777777"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现代电力系统通过与通信基础设施的紧密耦合实现广域监测与控制：现场传感器将量测数据上送至控制中心，调度决策再下发至发电机与断路器。物理层与信息层共同构成信息物理电力系统（Cyber-Physical Power System, CPPS），其可靠性不仅取决于信息的正确性，更取决于信息的时效性。当扰动移除通信资产时，存活路径变长、拥塞加剧，到达控制中心的量测变得陈旧，下发到发电机的命令出现延迟，系统面临因通信时延而诱发或加剧级联失效的风险。</w:t>
      </w:r>
    </w:p>
    <w:p w14:paraId="79506FE9" w14:textId="77777777"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目前，国内外学者已对CPPS级联失效开展了一定研究。例如，现有文献通常将电力网络与通信网络构建为双层耦合模型，通过移除故障节点或链路来模拟故障跨层传播，并采用直流潮流等工具计算支路过载情况，以负荷损失或供电比例等指标评估系统韧性。在通信时延的处理方面，现有研究普遍采用观测式做法：即在固定拓扑上计算端到端时延，以平均时延或最坏时延的形式给出，再将其作为标量惩罚附加于一条由纯结构过程或纯电气过程预先决定的级联轨迹之后。</w:t>
      </w:r>
    </w:p>
    <w:p w14:paraId="0A7FCA30" w14:textId="77777777"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然而，上述现有技术存在以下不足：</w:t>
      </w:r>
    </w:p>
    <w:p w14:paraId="3199B21A" w14:textId="505A0E56"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第一，在现有模型中，无论通信系统是否经历时延退化，系统所经历的故障序列均与理想通信系统相同，二者的差别仅在于末端施加一个标量惩罚值。这种做法删除了时延致害的关键环节</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时延的危害本质上由一个闭环反馈过程产生：通信削弱降低发电机的可控性，由此产生的功率不平衡引发新的支路过载，新的结构性故障进一步移除通信资产，受损拓扑又使下一轮时</w:t>
      </w:r>
      <w:r w:rsidRPr="00560BC5">
        <w:rPr>
          <w:rFonts w:ascii="楷体" w:eastAsia="楷体" w:hAnsi="楷体" w:hint="eastAsia"/>
          <w:color w:val="000000" w:themeColor="text1"/>
          <w:sz w:val="28"/>
          <w:szCs w:val="28"/>
        </w:rPr>
        <w:lastRenderedPageBreak/>
        <w:t>延变长。将该闭环简化为开环惩罚，不仅损失评估精度，更错误地刻画了时延影响的定性性质。</w:t>
      </w:r>
    </w:p>
    <w:p w14:paraId="2597FBF1" w14:textId="4A281256"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第二，多数模型将整条通信路径压缩为单一的时延值和单一惩罚曲线。但从控制与调度角度来看，真正重要的量不是单一时延，而是两个不同通道的时延</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量测到达决策者的上行时延，以及决策命令到达执行机构的下行时延。这两个通道承载不同的报文大小</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量测报文较大、命令报文较小，经历不同的排队机制和不同的处理硬件，通过不同机制进入发电机控制回路。不加区分的单一时延模型既无法解释某一具体时延为何有害，也无法指导应升级哪一物理接口以获得最大的韧性恢复。</w:t>
      </w:r>
    </w:p>
    <w:p w14:paraId="3C27738A" w14:textId="03D5AFAF" w:rsidR="00560BC5" w:rsidRPr="00560BC5"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第三，现有评估指标主要关注负荷保全率，但该指标无法反映存活机组实际出力偏离调度计划的程度，可能掩盖机组级的隐性退化</w:t>
      </w:r>
      <w:r w:rsidR="000931B5">
        <w:rPr>
          <w:rFonts w:ascii="楷体" w:eastAsia="楷体" w:hAnsi="楷体" w:hint="eastAsia"/>
          <w:color w:val="000000" w:themeColor="text1"/>
          <w:sz w:val="28"/>
          <w:szCs w:val="28"/>
        </w:rPr>
        <w:t>，</w:t>
      </w:r>
      <w:r w:rsidRPr="00560BC5">
        <w:rPr>
          <w:rFonts w:ascii="楷体" w:eastAsia="楷体" w:hAnsi="楷体" w:hint="eastAsia"/>
          <w:color w:val="000000" w:themeColor="text1"/>
          <w:sz w:val="28"/>
          <w:szCs w:val="28"/>
        </w:rPr>
        <w:t>系统可能在负荷指标看似安全的情况下，其负荷已由远离设定点的机组供给，导致评估结果过于乐观。</w:t>
      </w:r>
    </w:p>
    <w:p w14:paraId="41100214" w14:textId="15A416A7" w:rsidR="00EB0637" w:rsidRPr="00805963" w:rsidRDefault="00560BC5" w:rsidP="004E3C5B">
      <w:pPr>
        <w:adjustRightInd w:val="0"/>
        <w:snapToGrid w:val="0"/>
        <w:ind w:firstLine="560"/>
        <w:rPr>
          <w:rFonts w:ascii="楷体" w:eastAsia="楷体" w:hAnsi="楷体" w:hint="eastAsia"/>
          <w:color w:val="000000" w:themeColor="text1"/>
          <w:sz w:val="28"/>
          <w:szCs w:val="28"/>
        </w:rPr>
      </w:pPr>
      <w:r w:rsidRPr="00560BC5">
        <w:rPr>
          <w:rFonts w:ascii="楷体" w:eastAsia="楷体" w:hAnsi="楷体" w:hint="eastAsia"/>
          <w:color w:val="000000" w:themeColor="text1"/>
          <w:sz w:val="28"/>
          <w:szCs w:val="28"/>
        </w:rPr>
        <w:t>综上所述，现有信息物理电力系统的级联失效建模与鲁棒性评估方法，亟需一种能够将通信时延内生于级联闭环过程、区分测量与执行双通道时延效应、并能够提供机组级评估粒度的技术方案。</w:t>
      </w:r>
    </w:p>
    <w:p w14:paraId="1E2CA28B" w14:textId="77777777" w:rsidR="0011473F" w:rsidRPr="00805963" w:rsidRDefault="0011473F" w:rsidP="004E3C5B">
      <w:pPr>
        <w:adjustRightInd w:val="0"/>
        <w:snapToGrid w:val="0"/>
        <w:ind w:firstLine="562"/>
        <w:rPr>
          <w:rFonts w:ascii="楷体" w:eastAsia="楷体" w:hAnsi="楷体" w:hint="eastAsia"/>
          <w:b/>
          <w:color w:val="000000" w:themeColor="text1"/>
          <w:sz w:val="28"/>
          <w:szCs w:val="28"/>
        </w:rPr>
      </w:pPr>
      <w:r w:rsidRPr="00805963">
        <w:rPr>
          <w:rFonts w:ascii="楷体" w:eastAsia="楷体" w:hAnsi="楷体" w:hint="eastAsia"/>
          <w:b/>
          <w:color w:val="000000" w:themeColor="text1"/>
          <w:sz w:val="28"/>
          <w:szCs w:val="28"/>
        </w:rPr>
        <w:t>发明内容</w:t>
      </w:r>
    </w:p>
    <w:p w14:paraId="316469D7" w14:textId="52E8C1AC" w:rsidR="0011473F" w:rsidRPr="00805963" w:rsidRDefault="0011473F" w:rsidP="004E3C5B">
      <w:pPr>
        <w:adjustRightInd w:val="0"/>
        <w:snapToGrid w:val="0"/>
        <w:ind w:firstLine="560"/>
        <w:rPr>
          <w:rFonts w:ascii="楷体" w:eastAsia="楷体" w:hAnsi="楷体" w:hint="eastAsia"/>
          <w:color w:val="000000" w:themeColor="text1"/>
          <w:sz w:val="28"/>
          <w:szCs w:val="21"/>
        </w:rPr>
      </w:pPr>
      <w:r w:rsidRPr="00805963">
        <w:rPr>
          <w:rFonts w:ascii="楷体" w:eastAsia="楷体" w:hAnsi="楷体" w:hint="eastAsia"/>
          <w:color w:val="000000" w:themeColor="text1"/>
          <w:sz w:val="28"/>
          <w:szCs w:val="21"/>
        </w:rPr>
        <w:t>本发明的目的是为了克服</w:t>
      </w:r>
      <w:r w:rsidR="00553A0B" w:rsidRPr="00553A0B">
        <w:rPr>
          <w:rFonts w:ascii="楷体" w:eastAsia="楷体" w:hAnsi="楷体"/>
          <w:color w:val="000000" w:themeColor="text1"/>
          <w:sz w:val="28"/>
          <w:szCs w:val="21"/>
        </w:rPr>
        <w:t>无时延模型系统性乐观、以及单一时延惩罚不可归因的问题</w:t>
      </w:r>
      <w:r w:rsidRPr="00805963">
        <w:rPr>
          <w:rFonts w:ascii="楷体" w:eastAsia="楷体" w:hAnsi="楷体"/>
          <w:color w:val="000000" w:themeColor="text1"/>
          <w:sz w:val="28"/>
          <w:szCs w:val="21"/>
        </w:rPr>
        <w:t>，</w:t>
      </w:r>
      <w:r w:rsidRPr="00805963">
        <w:rPr>
          <w:rFonts w:ascii="楷体" w:eastAsia="楷体" w:hAnsi="楷体" w:hint="eastAsia"/>
          <w:color w:val="000000" w:themeColor="text1"/>
          <w:sz w:val="28"/>
          <w:szCs w:val="28"/>
        </w:rPr>
        <w:t>提出</w:t>
      </w:r>
      <w:r w:rsidR="00360DC8" w:rsidRPr="003726EF">
        <w:rPr>
          <w:rFonts w:ascii="楷体" w:eastAsia="楷体" w:hAnsi="楷体"/>
          <w:color w:val="000000" w:themeColor="text1"/>
          <w:sz w:val="28"/>
          <w:szCs w:val="28"/>
        </w:rPr>
        <w:t>一种时延内生闭环的信息物理电力系统级联失效评估方法</w:t>
      </w:r>
      <w:r w:rsidR="00553A0B">
        <w:rPr>
          <w:rFonts w:ascii="楷体" w:eastAsia="楷体" w:hAnsi="楷体" w:hint="eastAsia"/>
          <w:color w:val="000000" w:themeColor="text1"/>
          <w:sz w:val="28"/>
          <w:szCs w:val="28"/>
        </w:rPr>
        <w:t>。</w:t>
      </w:r>
      <w:r w:rsidR="00856BBF">
        <w:rPr>
          <w:rFonts w:ascii="楷体" w:eastAsia="楷体" w:hAnsi="楷体" w:hint="eastAsia"/>
          <w:color w:val="000000" w:themeColor="text1"/>
          <w:sz w:val="28"/>
        </w:rPr>
        <w:t xml:space="preserve"> </w:t>
      </w:r>
    </w:p>
    <w:p w14:paraId="743D318C" w14:textId="77777777" w:rsidR="0011473F" w:rsidRPr="00805963" w:rsidRDefault="0011473F" w:rsidP="004E3C5B">
      <w:pPr>
        <w:adjustRightInd w:val="0"/>
        <w:snapToGrid w:val="0"/>
        <w:ind w:firstLine="560"/>
        <w:rPr>
          <w:rFonts w:ascii="楷体" w:eastAsia="楷体" w:hAnsi="楷体" w:hint="eastAsia"/>
          <w:color w:val="000000" w:themeColor="text1"/>
          <w:sz w:val="28"/>
          <w:szCs w:val="21"/>
        </w:rPr>
      </w:pPr>
      <w:r w:rsidRPr="00805963">
        <w:rPr>
          <w:rFonts w:ascii="楷体" w:eastAsia="楷体" w:hAnsi="楷体" w:hint="eastAsia"/>
          <w:color w:val="000000" w:themeColor="text1"/>
          <w:sz w:val="28"/>
          <w:szCs w:val="21"/>
        </w:rPr>
        <w:t>为了实现上述目的，本发明具体采用的技术方案如下：</w:t>
      </w:r>
    </w:p>
    <w:p w14:paraId="74042C78"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一种时延内生闭环的信息物理电力系统级联失效评估方法，包括以下步骤：</w:t>
      </w:r>
    </w:p>
    <w:p w14:paraId="5F2AF998"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1、构建信息物理电力系统的双层耦合模型：以电力网络作为物理层、以通信网络作为信息层，确定通信网络中的控制中心节点，并以介数正相关的方式将物理层节点与信息层节点一一耦合；对物理层支路（所述物理层支路不是物理层节点，是指电力网络中连接两个母线节点的输电线路，由电力网络的拓扑数据直接确定）及信息层节点和信息层链路均按同一容忍裕度设定容量</w:t>
      </w:r>
      <w:r w:rsidRPr="00360DC8">
        <w:rPr>
          <w:rFonts w:ascii="楷体" w:eastAsia="楷体" w:hAnsi="楷体"/>
          <w:color w:val="000000" w:themeColor="text1"/>
          <w:sz w:val="28"/>
        </w:rPr>
        <w:lastRenderedPageBreak/>
        <w:t>。</w:t>
      </w:r>
    </w:p>
    <w:p w14:paraId="0EB61BC1" w14:textId="2E7B5BC0"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信息物理电力系统的级联失效同时涉及物理潮流与信息交互两个层面，物理层的电气量测需经由信息层节点中继传输至控制中心，控制中心的调度指令亦需经由信息层下发给各执行机构。建立双层耦合模型是进行时延评估的基础物理架构。物理层与信息层按介数正相关方式进行耦合，其作用在于将物理层中电气结构上最为关键的节点匹配至信息层中通信结构上最为中心的节点，使耦合关系反映两类网络在结构重要性上的对应性。所有元件按同一容忍裕度设定容量，为后续在不同裕度水平下考察系统鲁棒性提供统一的可比基准。当α=0时系统恰好无冗余，α越大则系统对单次故障的耐受能力越强。</w:t>
      </w:r>
    </w:p>
    <w:p w14:paraId="7B53854A"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以时延内生闭环级联失效模型对系统进行逐轮迭代仿真，所述时延内生闭环级联失效模型是本发明构建的、将通信时延作为级联过程内生状态量的级联失效仿真模型，其结构为逐轮执行的外循环迭代，每一轮迭代依次执行信息层过载检查、逐机组时延评估、潮流前出力缩放、直流潮流重分配和时延耦合低频减载五个子步骤，且各轮之间通过时延反馈形成闭环：在每一轮级联中，先进行结构性故障的跨层传播，再在当前受损拓扑（所述当前受损拓扑是指从初始双层耦合拓扑中移除截至当前已失效的节点和链路后、由存活的信息层节点和信息层链路构成的通信网络拓扑）上为每台存活发电机计算通信时延，并根据时延通过控制效能因子对该发电机出力进行缩放，得到时延退化后的实际出力，然后以时延退化后的实际出力求解直流潮流以确定支路过载，最后执行随时延加深的时延耦合低频减载；上述时延在每一轮均在当前拓扑上重新计算并反馈到下一轮，形成闭环。</w:t>
      </w:r>
    </w:p>
    <w:p w14:paraId="4E2D6157" w14:textId="23FC69E5"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通信时延对电力系统的影响并非静态的、单向的标量惩罚。通信链路受损导致路径变长、拥塞加剧，量测和命令的时效性降低，发电机因无法及时响应调度指令而导致实际可控出力下降，这种出力下降在物理层引起功率再分配并可能触发新的支路过载，过载导致的断路器动作进一步移除通信资产，受损后的拓扑又使下一轮的通信时延进一步恶化。本发明将时延置于级联迭代的内环之中，使其每轮在当前拓扑上重算，并将时延退化后的实际出力作为下一轮潮流的输入，从而完整刻画出时延</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出力退化</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潮流重分配</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拓扑变化</w:t>
      </w:r>
      <w:r w:rsidR="00553A0B">
        <w:rPr>
          <w:rFonts w:ascii="楷体" w:eastAsia="楷体" w:hAnsi="楷体" w:hint="eastAsia"/>
          <w:color w:val="000000" w:themeColor="text1"/>
          <w:sz w:val="28"/>
        </w:rPr>
        <w:t>、</w:t>
      </w:r>
      <w:r w:rsidRPr="00360DC8">
        <w:rPr>
          <w:rFonts w:ascii="楷体" w:eastAsia="楷体" w:hAnsi="楷体"/>
          <w:color w:val="000000" w:themeColor="text1"/>
          <w:sz w:val="28"/>
        </w:rPr>
        <w:t>时延恶化的因果闭环。这一机制使各时延场景沿各自不同的轨迹演化，而非共同无时延轨迹的缩放副本，从根本上区别于将时延作为事后标注的现有方法。</w:t>
      </w:r>
    </w:p>
    <w:p w14:paraId="3DFC3161"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lastRenderedPageBreak/>
        <w:t>步骤3、根据供给守恒比LSR和调度保真误差DTE对鲁棒性进行评估，并对所述容忍裕度、时延严重程度以及上行测量通道时延和下行执行通道时延各自的分量进行敏感性分析。</w:t>
      </w:r>
    </w:p>
    <w:p w14:paraId="0EFF29DD" w14:textId="3F5D8C05"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单一时延值无法区分信息上行滞后与控制下行滞后的不同致害机理，单一负荷保全指标也无法反映存活机组执行调度计划的保真度。本发明通过供给守恒比衡量系统在级联终止后仍能有效供给的负荷比例，通过调度保真误差衡量存活机组实际出力相对于调度计划的容量加权偏离程度，两者形成互补：前者回答“多少负荷存活”，后者回答“存活机组以多高的保真度运行”。敏感性分析通过在最严重时延场景下对各个时延分量施加单参数缓解动作，识别出对恢复系统鲁棒性贡献最大的物理接口，为工程上的韧性提升提供可操作的优化方向。</w:t>
      </w:r>
    </w:p>
    <w:p w14:paraId="6DF5ABAB" w14:textId="506F3020"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1中，所述通信网络采用无标度网络；所述控制中心节点按以下方式选取：计算每个节点的结构重要度评分，该评分等于该节点的归一化介数与该节点的核数之和除以该节点的聚类系数的商，加上该节点的度与该节点的接近中心性的乘积；选取结构重要度评分最高的节点作为控制中心节点。</w:t>
      </w:r>
    </w:p>
    <w:p w14:paraId="04C7BBA8" w14:textId="13C3592D"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无标度网络具有幂律度分布特性，能够反映实际通信网络中少数中心节点连接大量边缘节点的拓扑特征，是信息物理电力系统通信层建模的常用选择。控制中心节点的位置直接影响所有发电机的量测上送路径和指令下发路径的长度与可靠性，从而影响每台发电机的通信时延大小。本发明所采用的结构重要度评分综合考虑了节点的介数（全局桥梁作用）、核数（在网络核心中的层次深度）、聚类系数（局部集聚程度）、度（直接连接广度）和接近中心性（到所有节点的平均距离），多维度融合使选取出的控制中心在通信拓扑中具有全局最优的结构重要性，确保时延评估的起点具有代表性。</w:t>
      </w:r>
    </w:p>
    <w:p w14:paraId="7D76CB4F" w14:textId="1C077050"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，所述步骤1中，所述物理层支路的容量为：1加上容忍裕度后乘以该支路初始潮流的绝对值；所述信息层节点和信息层链路的容量均为：1</w:t>
      </w:r>
      <w:r w:rsidR="00360DC8" w:rsidRPr="00360DC8">
        <w:rPr>
          <w:rFonts w:ascii="楷体" w:eastAsia="楷体" w:hAnsi="楷体"/>
          <w:color w:val="000000" w:themeColor="text1"/>
          <w:sz w:val="28"/>
        </w:rPr>
        <w:lastRenderedPageBreak/>
        <w:t>加上容忍裕度后乘以初始带宽。</w:t>
      </w:r>
    </w:p>
    <w:p w14:paraId="51628724" w14:textId="3AB6C826"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统一设定所有元件的容量裕度，使物理层与信息层的耐受能力在同一杠杆水平上进行比较与扫描。物理层支路容量以初始潮流为基准，信息层容量以初始带宽为基准，两者均按同一容忍裕度</w:t>
      </w:r>
      <m:oMath>
        <m:r>
          <w:rPr>
            <w:rFonts w:ascii="Cambria Math" w:eastAsia="楷体" w:hAnsi="Cambria Math"/>
            <w:color w:val="000000" w:themeColor="text1"/>
            <w:sz w:val="28"/>
          </w:rPr>
          <m:t>α</m:t>
        </m:r>
      </m:oMath>
      <w:r w:rsidRPr="00360DC8">
        <w:rPr>
          <w:rFonts w:ascii="楷体" w:eastAsia="楷体" w:hAnsi="楷体"/>
          <w:color w:val="000000" w:themeColor="text1"/>
          <w:sz w:val="28"/>
        </w:rPr>
        <w:t>同步缩放，从而在后续敏感性分析中能够分离裕度水平与时延严重程度两个变量的各自影响，揭示时延惩罚在不同裕度区间的非均匀分布特征。</w:t>
      </w:r>
    </w:p>
    <w:p w14:paraId="4BE74A37" w14:textId="2C9541BF"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所述通信时延沿路径计算：单条链路时延等于报文大小除以链路带宽的商加上链路长度除以信号传播速度的商；一条路径的总时延在所述单条链路时延之外还包括端点收发处理时间以及每个中间节点的转发时间，且所述控制中心节点的转发时间小于普通中继节点的转发时间。</w:t>
      </w:r>
    </w:p>
    <w:p w14:paraId="03170D88" w14:textId="6BA59F0D"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通信时延由串行化时延（报文大小与带宽之比）和传播时延（距离与信号速度之比）两部分构成，前者反映带宽约束，后者反映物理距离约束。在路径层面，每个中间节点的转发时间取决于该节点的角色——控制中心节点具备更强的处理能力，其转发时间小于普通中继节点，这一区分使时延计算能够反映控制中心与普通节点在硬件配置上的实际差异，避免将所有节点等同处理导致的时延估计偏差。</w:t>
      </w:r>
    </w:p>
    <w:p w14:paraId="266EBCF3" w14:textId="4FFC3B41"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所述上行测量通道时延为：发电厂母线至非控制中心节点的发送处理时延，加上上行路径上的传输总时延，再加上排队时延；所述下行执行通道时延为：非控制中心节点至发电厂母线的接收处理时延，加上下行路径上的传输总时延，再加上排队时延；上行通道承载量测报文，下行通道承载命令报文，两通道对同一拓扑变化的响应不同。</w:t>
      </w:r>
    </w:p>
    <w:p w14:paraId="01538602" w14:textId="2EB4DD96"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本发明将端到端时延按业务功能分解为上行测量通道和下行执行通道，其物理基础在于两个方向承载的报文类型不同——上行承载大量量测数据（报文大）、下行承载调度命令（报文小），因而经历不同的串行化时延；两个方向在控制中心侧的排队机制不同，在接口硬件上的处理路径也不同。这</w:t>
      </w:r>
      <w:r w:rsidRPr="00360DC8">
        <w:rPr>
          <w:rFonts w:ascii="楷体" w:eastAsia="楷体" w:hAnsi="楷体"/>
          <w:color w:val="000000" w:themeColor="text1"/>
          <w:sz w:val="28"/>
        </w:rPr>
        <w:lastRenderedPageBreak/>
        <w:t>一分解使得任一脆弱性可以被归因到具体通道而非被吸收进单一黑箱惩罚值，从而为工程优化指明方向：是升级传感器侧的通信接口，还是升级执行机构侧的命令下发接口。</w:t>
      </w:r>
    </w:p>
    <w:p w14:paraId="7C48A907" w14:textId="5667A109"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，所述步骤2中，所述三因子控制效能因子采用的是三因子连乘形式，所述三因子分别为报文丢失因子、控制饱和因子、稳定性崩溃因子。</w:t>
      </w:r>
    </w:p>
    <w:p w14:paraId="0A897B7E" w14:textId="74AA0E23"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通信时延对发电机可控性的损害通过三条正交的物理路径实现——报文丢失（可靠性维度）、控制指令过时导致执行器饱和（控制带宽维度）、以及过大的时延导致闭环控制系统失稳（稳定性维度）。三因子各自对应一条独立的失效物理轴，通过连乘形式将三者综合为一个归一化的效能因子</w:t>
      </w:r>
      <m:oMath>
        <m:r>
          <w:rPr>
            <w:rFonts w:ascii="Cambria Math" w:eastAsia="楷体" w:hAnsi="Cambria Math"/>
            <w:color w:val="000000" w:themeColor="text1"/>
            <w:sz w:val="28"/>
          </w:rPr>
          <m:t>η</m:t>
        </m:r>
        <m:r>
          <w:rPr>
            <w:rFonts w:ascii="Cambria Math" w:eastAsia="楷体" w:hAnsi="Cambria Math" w:cs="Cambria Math"/>
            <w:color w:val="000000" w:themeColor="text1"/>
            <w:sz w:val="28"/>
          </w:rPr>
          <m:t>⁺</m:t>
        </m:r>
        <m:r>
          <w:rPr>
            <w:rFonts w:ascii="Cambria Math" w:eastAsia="楷体" w:hAnsi="Cambria Math" w:cs="楷体" w:hint="eastAsia"/>
            <w:color w:val="000000" w:themeColor="text1"/>
            <w:sz w:val="28"/>
          </w:rPr>
          <m:t>∈</m:t>
        </m:r>
        <m:r>
          <w:rPr>
            <w:rFonts w:ascii="Cambria Math" w:eastAsia="楷体" w:hAnsi="Cambria Math"/>
            <w:color w:val="000000" w:themeColor="text1"/>
            <w:sz w:val="28"/>
          </w:rPr>
          <m:t>[0,1]</m:t>
        </m:r>
      </m:oMath>
      <w:r w:rsidRPr="00360DC8">
        <w:rPr>
          <w:rFonts w:ascii="楷体" w:eastAsia="楷体" w:hAnsi="楷体"/>
          <w:color w:val="000000" w:themeColor="text1"/>
          <w:sz w:val="28"/>
        </w:rPr>
        <w:t>，表示发电机在经历通信时延退化后实际可用的出力比例。该乘积结构的特征在于：任一因子趋于零时，即使其他因子完好，整台发电机的控制效能也被切断，这符合实际系统中任一失效模式即可导致可控性丧失的物理事实。归一化条件保证在无时延的理想通信状态下，所有发电机以全额计划出力参与潮流计算，退化为常规无时延级联模型，使本发明的模型与现有模型在同一基准上可比。</w:t>
      </w:r>
    </w:p>
    <w:p w14:paraId="575338DC" w14:textId="04FFDD1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，所述报文丢失因子等于一减去单跳丢包率的差的路径跳数次幂，其中路径跳数为上行路径跳数与下行路径跳数之和；</w:t>
      </w:r>
    </w:p>
    <w:p w14:paraId="2EB93095" w14:textId="2AC3F110"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所述控制饱和因子等于自然常数</w:t>
      </w:r>
      <m:oMath>
        <m:r>
          <w:rPr>
            <w:rFonts w:ascii="Cambria Math" w:eastAsia="楷体" w:hAnsi="Cambria Math"/>
            <w:color w:val="000000" w:themeColor="text1"/>
            <w:sz w:val="28"/>
          </w:rPr>
          <m:t>e</m:t>
        </m:r>
      </m:oMath>
      <w:r w:rsidRPr="00360DC8">
        <w:rPr>
          <w:rFonts w:ascii="楷体" w:eastAsia="楷体" w:hAnsi="楷体"/>
          <w:color w:val="000000" w:themeColor="text1"/>
          <w:sz w:val="28"/>
        </w:rPr>
        <w:t>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p>
    <w:p w14:paraId="118983BF" w14:textId="2DC7DDD1"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所述稳定性崩溃因子等于一加上自然常数</w:t>
      </w:r>
      <m:oMath>
        <m:r>
          <w:rPr>
            <w:rFonts w:ascii="Cambria Math" w:eastAsia="楷体" w:hAnsi="Cambria Math"/>
            <w:color w:val="000000" w:themeColor="text1"/>
            <w:sz w:val="28"/>
          </w:rPr>
          <m:t>e</m:t>
        </m:r>
      </m:oMath>
      <w:r w:rsidRPr="00360DC8">
        <w:rPr>
          <w:rFonts w:ascii="楷体" w:eastAsia="楷体" w:hAnsi="楷体"/>
          <w:color w:val="000000" w:themeColor="text1"/>
          <w:sz w:val="28"/>
        </w:rPr>
        <w:t>的负陡度系数的和，除以一加上自然常数</w:t>
      </w:r>
      <m:oMath>
        <m:r>
          <w:rPr>
            <w:rFonts w:ascii="Cambria Math" w:eastAsia="楷体" w:hAnsi="Cambria Math"/>
            <w:color w:val="000000" w:themeColor="text1"/>
            <w:sz w:val="28"/>
          </w:rPr>
          <m:t>e</m:t>
        </m:r>
      </m:oMath>
      <w:r w:rsidRPr="00360DC8">
        <w:rPr>
          <w:rFonts w:ascii="楷体" w:eastAsia="楷体" w:hAnsi="楷体"/>
          <w:color w:val="000000" w:themeColor="text1"/>
          <w:sz w:val="28"/>
        </w:rPr>
        <w:t>的以下幂：陡度系数乘以上行测量通道时延与下行执行通道时延之和减去第i台发电机的临界时延阈值的差再除以该临界时延阈值；所述第i台发电机的临界时延阈值等于预设的最大临界时延阈值乘以第i台发电机的额定容量除以所有存活发电机额定容量的最大值；</w:t>
      </w:r>
    </w:p>
    <w:p w14:paraId="638FF207"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lastRenderedPageBreak/>
        <w:t>所述三因子经归一化使所有时延为零时控制效能因子等于1。</w:t>
      </w:r>
    </w:p>
    <w:p w14:paraId="02596A7B"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报文丢失因子反映了多跳通信中每一跳均存在丢包概率，路径越长（跳数越多），报文成功到达目的端的概率越低。该因子仅由拓扑决定的路径跳数确定，与具体时延幅值无关，因此即便通信网络不存在拥塞，长多跳路径本身的丢包累积效应也已经导致了可控性损失。</w:t>
      </w:r>
    </w:p>
    <w:p w14:paraId="3B569B05"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控制饱和因子反映了执行器的工作带宽限制：在采样周期或执行周期以内的小幅时延对控制效果几乎没有影响，一旦时延超过死区阈值，执行器输出的控制量开始偏离期望值，且偏离程度随时延增加呈指数增长。上行和下行各自具有独立的死区阈值和衰减系数，分别对应量测采样周期和命令执行周期的物理限制。</w:t>
      </w:r>
    </w:p>
    <w:p w14:paraId="0485DA5A" w14:textId="587276AC"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稳定性崩溃因子反映了闭环控制系统的时延耐受极限：对于每台发电机，其临界时延阈值与其额定容量成正比</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大机组具有更大的转动惯量和更慢的动态响应，对时延的耐受能力更强；小机组惯量小、响应快，同一绝对时延对其稳定性破坏更为严重，出力更早归零。这一异质性使本发明能够刻画时延对不同机组的差异化损伤，这是单一时延惩罚模型在结构上不可能实现的。</w:t>
      </w:r>
    </w:p>
    <w:p w14:paraId="1E165669" w14:textId="064EAFD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，所述步骤2中，每一轮迭代按以下顺序执行：</w:t>
      </w:r>
    </w:p>
    <w:p w14:paraId="59FDB7F6"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步骤2-1、进行信息层过载检查：检查信息层节点和信息层链路的当前负载是否超过其容量，超过则使相应节点或链路失效并使信息层拓扑碎片化；</w:t>
      </w:r>
    </w:p>
    <w:p w14:paraId="75872C95"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步骤2-2、进行逐机组时延评估：在当前受损拓扑上为每台存活发电机寻找到最近存活控制中心的上行路径和下行路径，并计算上行测量通道时延和下行执行通道时延；</w:t>
      </w:r>
    </w:p>
    <w:p w14:paraId="5DC656A0"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步骤2-3、进行潮流前出力缩放：第i台发电机的实际出力等于第i台发电机的控制效能因子乘以第i台发电机的计划出力；</w:t>
      </w:r>
    </w:p>
    <w:p w14:paraId="1CF613C4"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步骤2-4、进行直流潮流重分配：节点注入功率向量等于电纳矩阵乘以节点电压相角向量，求解后得到本轮支路潮流，由平衡机吸收不平衡功率；</w:t>
      </w:r>
    </w:p>
    <w:p w14:paraId="2760FF4D"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步骤2-5、进行时延耦合低频减载：减载深度等于最大减载深度乘以一与</w:t>
      </w:r>
      <w:r w:rsidRPr="00360DC8">
        <w:rPr>
          <w:rFonts w:ascii="楷体" w:eastAsia="楷体" w:hAnsi="楷体"/>
          <w:color w:val="000000" w:themeColor="text1"/>
          <w:sz w:val="28"/>
        </w:rPr>
        <w:lastRenderedPageBreak/>
        <w:t>低频减载参考时延阈值的比值中较小者的函数，该比值为当前平均时延除以低频减载参考时延阈值，且当当前平均时延为零时退化为常规单级减载。</w:t>
      </w:r>
    </w:p>
    <w:p w14:paraId="4F2EF02F" w14:textId="68DDC8CA"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上述五个子步骤的先后顺序具有严格的因果逻辑。首先处理信息层过载</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信息层故障是时延恶化的源头；然后在已受损的拓扑上评估时延</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此时的拓扑反映了本轮所有已发生的结构性故障；再在潮流计算之前对发电机出力进行缩放——使潮流计算“看到”的是经过时延退化后的实际出力而非计划出力，这是时延影响物理潮流的核心环节；继而求解直流潮流得到支路负载，识别过载风险；最后执行时延耦合低频减载</w:t>
      </w:r>
      <w:r w:rsidR="002D2E0C">
        <w:rPr>
          <w:rFonts w:ascii="楷体" w:eastAsia="楷体" w:hAnsi="楷体" w:hint="eastAsia"/>
          <w:color w:val="000000" w:themeColor="text1"/>
          <w:sz w:val="28"/>
        </w:rPr>
        <w:t>，</w:t>
      </w:r>
      <w:r w:rsidRPr="00360DC8">
        <w:rPr>
          <w:rFonts w:ascii="楷体" w:eastAsia="楷体" w:hAnsi="楷体"/>
          <w:color w:val="000000" w:themeColor="text1"/>
          <w:sz w:val="28"/>
        </w:rPr>
        <w:t>减载深度随时延加深而自适应增加，模拟时延导致频率响应延缓后需要切除更多负荷以维持功率平衡的物理现象。该顺序确保每一轮中因果链的方向正确：时延在潮流之前作用于出力，潮流结果反过来决定下一轮拓扑是否发生变化。</w:t>
      </w:r>
    </w:p>
    <w:p w14:paraId="56C1124A" w14:textId="3E4E8E7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3中，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18D4406E" w14:textId="2D59EDE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供给守恒比（Load Supply Ratio, LSR）衡量系统在级联终止后仍能维持的负荷供给能力，其分子为存活负荷的初始功率之和，分母为全部负荷的初始功率之和。功率折减系数φ的引入是为了处理发电侧出力不足的情况：当所有发电机实际出力之和小于计划出力之和时，即便所有负荷节点均存活，系统的实际供电能力也低于原始计划，此时应以</w:t>
      </w:r>
      <m:oMath>
        <m:r>
          <w:rPr>
            <w:rFonts w:ascii="Cambria Math" w:eastAsia="楷体" w:hAnsi="Cambria Math"/>
            <w:color w:val="000000" w:themeColor="text1"/>
            <w:sz w:val="28"/>
          </w:rPr>
          <m:t>φ</m:t>
        </m:r>
      </m:oMath>
      <w:r w:rsidRPr="00360DC8">
        <w:rPr>
          <w:rFonts w:ascii="楷体" w:eastAsia="楷体" w:hAnsi="楷体"/>
          <w:color w:val="000000" w:themeColor="text1"/>
          <w:sz w:val="28"/>
        </w:rPr>
        <w:t>折减LSR值。这一定义使LSR同时反映负荷存活率与发电充裕度两个维度。</w:t>
      </w:r>
    </w:p>
    <w:p w14:paraId="21B87D13" w14:textId="77777777"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调度保真误差（Dispatch Tracking Error, DTE）衡量存活机组实际出力相对于调度计划的容量加权偏离程度。其物理意义在于：系统可能通过调整各发电机的出力来维持负荷供给，但如果这些调整导致发电机大幅偏离其</w:t>
      </w:r>
      <w:r w:rsidRPr="00360DC8">
        <w:rPr>
          <w:rFonts w:ascii="楷体" w:eastAsia="楷体" w:hAnsi="楷体"/>
          <w:color w:val="000000" w:themeColor="text1"/>
          <w:sz w:val="28"/>
        </w:rPr>
        <w:lastRenderedPageBreak/>
        <w:t>计划工作点，则系统的运行状态已发生隐性退化。LSR与DTE构成互补——系统可能保持令人安心的LSR值，但DTE已大幅升高，揭示了负荷指标无法捕捉的机组级功能退化。两者联合使用实现了从“能否供电”到“如何供电”的评估维度扩展。</w:t>
      </w:r>
    </w:p>
    <w:p w14:paraId="3DA315D3" w14:textId="58AB262B"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步骤3中，所述敏感性分析以最严重时延场景为基线，对链路带宽、端点处理时延、中继转发时延、现场测量接口时延、现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容忍裕度构成的平面上计算逐轮时延惩罚以确定早期干预窗口。</w:t>
      </w:r>
    </w:p>
    <w:p w14:paraId="348903EA" w14:textId="58A65FA8"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color w:val="000000" w:themeColor="text1"/>
          <w:sz w:val="28"/>
        </w:rPr>
        <w:t>在最严重时延场景下，逐一改善某一时延分量而保持其他分量不变，通过恢复度指标衡量该分量对系统韧性恢复的边际贡献。恢复度归一化于无时延理想状态与最严重时延状态之间，取值在0到1之间，值越大表示改善该分量的韧性收益越高。该方法将各时延分量的贡献置于同一尺度上比较，使工程决策能够识别出“单位投入获得最多韧性恢复”的优化方向。逐轮时延惩罚在（轮次，</w:t>
      </w:r>
      <m:oMath>
        <m:r>
          <w:rPr>
            <w:rFonts w:ascii="Cambria Math" w:eastAsia="楷体" w:hAnsi="Cambria Math"/>
            <w:color w:val="000000" w:themeColor="text1"/>
            <w:sz w:val="28"/>
          </w:rPr>
          <m:t>α</m:t>
        </m:r>
      </m:oMath>
      <w:r w:rsidRPr="00360DC8">
        <w:rPr>
          <w:rFonts w:ascii="楷体" w:eastAsia="楷体" w:hAnsi="楷体"/>
          <w:color w:val="000000" w:themeColor="text1"/>
          <w:sz w:val="28"/>
        </w:rPr>
        <w:t>）平面上的分布揭示了时延致害的时间结构——惩罚在特定轮次区间内急剧点燃，据此可确定早期干预的时间窗口，为级联过程中的主动控制策略提供时序依据。</w:t>
      </w:r>
    </w:p>
    <w:p w14:paraId="0767EDB2" w14:textId="230A8606" w:rsidR="00360DC8" w:rsidRPr="00360DC8" w:rsidRDefault="00553A0B" w:rsidP="004E3C5B">
      <w:pPr>
        <w:adjustRightInd w:val="0"/>
        <w:snapToGrid w:val="0"/>
        <w:ind w:firstLine="560"/>
        <w:jc w:val="left"/>
        <w:rPr>
          <w:rFonts w:ascii="楷体" w:eastAsia="楷体" w:hAnsi="楷体" w:hint="eastAsia"/>
          <w:color w:val="000000" w:themeColor="text1"/>
          <w:sz w:val="28"/>
        </w:rPr>
      </w:pPr>
      <w:r>
        <w:rPr>
          <w:rFonts w:ascii="楷体" w:eastAsia="楷体" w:hAnsi="楷体"/>
          <w:color w:val="000000" w:themeColor="text1"/>
          <w:sz w:val="28"/>
        </w:rPr>
        <w:t>作为优选</w:t>
      </w:r>
      <w:r w:rsidR="00360DC8" w:rsidRPr="00360DC8">
        <w:rPr>
          <w:rFonts w:ascii="楷体" w:eastAsia="楷体" w:hAnsi="楷体"/>
          <w:color w:val="000000" w:themeColor="text1"/>
          <w:sz w:val="28"/>
        </w:rPr>
        <w:t>，所述级联失效由移除信息层中结构重要度最高的非控制中心节点触发。</w:t>
      </w:r>
    </w:p>
    <w:p w14:paraId="3916764B" w14:textId="626F7672" w:rsidR="00360DC8" w:rsidRPr="00360DC8" w:rsidRDefault="00360DC8" w:rsidP="004E3C5B">
      <w:pPr>
        <w:adjustRightInd w:val="0"/>
        <w:snapToGrid w:val="0"/>
        <w:ind w:firstLine="560"/>
        <w:jc w:val="left"/>
        <w:rPr>
          <w:rFonts w:ascii="楷体" w:eastAsia="楷体" w:hAnsi="楷体" w:hint="eastAsia"/>
          <w:color w:val="000000" w:themeColor="text1"/>
          <w:sz w:val="28"/>
        </w:rPr>
      </w:pPr>
      <w:r w:rsidRPr="00360DC8">
        <w:rPr>
          <w:rFonts w:ascii="楷体" w:eastAsia="楷体" w:hAnsi="楷体" w:hint="eastAsia"/>
          <w:color w:val="000000" w:themeColor="text1"/>
          <w:sz w:val="28"/>
        </w:rPr>
        <w:t>其中，</w:t>
      </w:r>
      <w:r w:rsidRPr="00360DC8">
        <w:rPr>
          <w:rFonts w:ascii="楷体" w:eastAsia="楷体" w:hAnsi="楷体"/>
          <w:color w:val="000000" w:themeColor="text1"/>
          <w:sz w:val="28"/>
        </w:rPr>
        <w:t>级联失效的初始扰动应施加于信息层中最具结构影响力的非控制中心节点，以模拟攻击者或极端事件针对通信网络关键节点进行破坏的最不利情形。该触发条件使所有评估场景在结构意义上具有最严峻的初始扰动，确保鲁棒性评估是在对抗性前提下的保守估计，而非乐观假设下的仿真推演。</w:t>
      </w:r>
    </w:p>
    <w:p w14:paraId="2DF9C97C" w14:textId="77777777" w:rsidR="00027745" w:rsidRPr="00805963" w:rsidRDefault="00027745" w:rsidP="004E3C5B">
      <w:pPr>
        <w:widowControl/>
        <w:adjustRightInd w:val="0"/>
        <w:snapToGrid w:val="0"/>
        <w:ind w:firstLine="562"/>
        <w:rPr>
          <w:rFonts w:ascii="楷体" w:eastAsia="楷体" w:hAnsi="楷体" w:cs="楷体" w:hint="eastAsia"/>
          <w:b/>
          <w:bCs/>
          <w:color w:val="000000" w:themeColor="text1"/>
          <w:sz w:val="28"/>
        </w:rPr>
      </w:pPr>
      <w:r w:rsidRPr="00805963">
        <w:rPr>
          <w:rFonts w:ascii="楷体" w:eastAsia="楷体" w:hAnsi="楷体" w:cs="楷体" w:hint="eastAsia"/>
          <w:b/>
          <w:bCs/>
          <w:color w:val="000000" w:themeColor="text1"/>
          <w:sz w:val="28"/>
        </w:rPr>
        <w:t>本发明具有以下的特点和有益效果：</w:t>
      </w:r>
    </w:p>
    <w:p w14:paraId="3317EE01" w14:textId="5D9AF653" w:rsidR="002D2E0C" w:rsidRPr="002D2E0C"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lastRenderedPageBreak/>
        <w:t>本发明将通信时延建模为级联过程中的内生、因果状态量而非事后施加的标量惩罚。时延在每一轮迭代中于当前受损拓扑上重新计算，并在潮流重分配之前作用于发电机出力，使各时延场景沿各自不同的轨迹演化。这一设计克服了现有事后惩罚模型无法反映时延</w:t>
      </w:r>
      <w:r>
        <w:rPr>
          <w:rFonts w:ascii="楷体" w:eastAsia="楷体" w:hAnsi="楷体" w:hint="eastAsia"/>
          <w:color w:val="000000" w:themeColor="text1"/>
          <w:sz w:val="28"/>
        </w:rPr>
        <w:t>、</w:t>
      </w:r>
      <w:r w:rsidRPr="002D2E0C">
        <w:rPr>
          <w:rFonts w:ascii="楷体" w:eastAsia="楷体" w:hAnsi="楷体" w:hint="eastAsia"/>
          <w:color w:val="000000" w:themeColor="text1"/>
          <w:sz w:val="28"/>
        </w:rPr>
        <w:t>出力退化</w:t>
      </w:r>
      <w:r>
        <w:rPr>
          <w:rFonts w:ascii="楷体" w:eastAsia="楷体" w:hAnsi="楷体" w:hint="eastAsia"/>
          <w:color w:val="000000" w:themeColor="text1"/>
          <w:sz w:val="28"/>
        </w:rPr>
        <w:t>、</w:t>
      </w:r>
      <w:r w:rsidRPr="002D2E0C">
        <w:rPr>
          <w:rFonts w:ascii="楷体" w:eastAsia="楷体" w:hAnsi="楷体" w:hint="eastAsia"/>
          <w:color w:val="000000" w:themeColor="text1"/>
          <w:sz w:val="28"/>
        </w:rPr>
        <w:t>潮流重分配</w:t>
      </w:r>
      <w:r>
        <w:rPr>
          <w:rFonts w:ascii="楷体" w:eastAsia="楷体" w:hAnsi="楷体" w:hint="eastAsia"/>
          <w:color w:val="000000" w:themeColor="text1"/>
          <w:sz w:val="28"/>
        </w:rPr>
        <w:t>、</w:t>
      </w:r>
      <w:r w:rsidRPr="002D2E0C">
        <w:rPr>
          <w:rFonts w:ascii="楷体" w:eastAsia="楷体" w:hAnsi="楷体" w:hint="eastAsia"/>
          <w:color w:val="000000" w:themeColor="text1"/>
          <w:sz w:val="28"/>
        </w:rPr>
        <w:t>拓扑变化</w:t>
      </w:r>
      <w:r>
        <w:rPr>
          <w:rFonts w:ascii="楷体" w:eastAsia="楷体" w:hAnsi="楷体" w:hint="eastAsia"/>
          <w:color w:val="000000" w:themeColor="text1"/>
          <w:sz w:val="28"/>
        </w:rPr>
        <w:t>、</w:t>
      </w:r>
      <w:r w:rsidRPr="002D2E0C">
        <w:rPr>
          <w:rFonts w:ascii="楷体" w:eastAsia="楷体" w:hAnsi="楷体" w:hint="eastAsia"/>
          <w:color w:val="000000" w:themeColor="text1"/>
          <w:sz w:val="28"/>
        </w:rPr>
        <w:t>时延恶化</w:t>
      </w:r>
      <w:r w:rsidR="00156C48">
        <w:rPr>
          <w:rFonts w:ascii="楷体" w:eastAsia="楷体" w:hAnsi="楷体" w:hint="eastAsia"/>
          <w:color w:val="000000" w:themeColor="text1"/>
          <w:sz w:val="28"/>
        </w:rPr>
        <w:t>的</w:t>
      </w:r>
      <w:r w:rsidRPr="002D2E0C">
        <w:rPr>
          <w:rFonts w:ascii="楷体" w:eastAsia="楷体" w:hAnsi="楷体" w:hint="eastAsia"/>
          <w:color w:val="000000" w:themeColor="text1"/>
          <w:sz w:val="28"/>
        </w:rPr>
        <w:t>因果闭环的根本缺陷，消除了现有无时延模型在中高容忍裕度区间给出的系统性乐观偏差。</w:t>
      </w:r>
    </w:p>
    <w:p w14:paraId="33652792" w14:textId="77777777" w:rsidR="002D2E0C" w:rsidRPr="002D2E0C"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t>本发明将端到端时延分解为上行测量通道与下行执行通道，两通道分别承载量测报文与命令报文，具有不同的报文大小、排队机制和处理硬件。在此基础上，本发明通过报文丢失因子、控制饱和因子、稳定性崩溃因子三个分别对应可靠性、控制带宽、稳定性三条正交失效轴的效能因子进行连乘映射，使每一台发电机的控制效能退化可被归因到具体通道和具体物理失效模式，而非被吸收进单一黑箱惩罚曲线，为工程优化提供了明确的归因方向。</w:t>
      </w:r>
    </w:p>
    <w:p w14:paraId="3C01240E" w14:textId="226C5085" w:rsidR="002D2E0C" w:rsidRPr="002D2E0C"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t>本发明提出供给守恒比LSR与调度保真误差DTE双指标评估体系，前者衡量负荷保全水平，后者衡量存活机组执行调度计划的保真度，两者联合使用可揭示LSR看似安全但DTE已严重退化的隐性功能丧失。在此基础上，本发明通过恢复度排序识别出对韧性恢复贡献最大的物理接口，并在（轮次，</w:t>
      </w:r>
      <m:oMath>
        <m:r>
          <w:rPr>
            <w:rFonts w:ascii="Cambria Math" w:eastAsia="楷体" w:hAnsi="Cambria Math"/>
            <w:color w:val="000000" w:themeColor="text1"/>
            <w:sz w:val="28"/>
          </w:rPr>
          <m:t>α</m:t>
        </m:r>
      </m:oMath>
      <w:r w:rsidRPr="002D2E0C">
        <w:rPr>
          <w:rFonts w:ascii="楷体" w:eastAsia="楷体" w:hAnsi="楷体" w:hint="eastAsia"/>
          <w:color w:val="000000" w:themeColor="text1"/>
          <w:sz w:val="28"/>
        </w:rPr>
        <w:t>）平面上定位早期干预的时间窗口，为信息物理电力系统韧性提升提供了具有工程指导价值的定量依据。</w:t>
      </w:r>
    </w:p>
    <w:p w14:paraId="17BF90AB" w14:textId="75969FB3" w:rsidR="0011473F" w:rsidRDefault="002D2E0C" w:rsidP="004E3C5B">
      <w:pPr>
        <w:adjustRightInd w:val="0"/>
        <w:snapToGrid w:val="0"/>
        <w:ind w:firstLine="560"/>
        <w:rPr>
          <w:rFonts w:ascii="楷体" w:eastAsia="楷体" w:hAnsi="楷体" w:hint="eastAsia"/>
          <w:color w:val="000000" w:themeColor="text1"/>
          <w:sz w:val="28"/>
        </w:rPr>
      </w:pPr>
      <w:r w:rsidRPr="002D2E0C">
        <w:rPr>
          <w:rFonts w:ascii="楷体" w:eastAsia="楷体" w:hAnsi="楷体" w:hint="eastAsia"/>
          <w:color w:val="000000" w:themeColor="text1"/>
          <w:sz w:val="28"/>
        </w:rPr>
        <w:t>综上所述，本发明有效揭示了时延在信息物理电力系统级联失效中的内生致害机理，克服了现有模型系统性乐观和评估粒度不足的问题，具有显著的理论创新性和工程实用价值。</w:t>
      </w:r>
    </w:p>
    <w:p w14:paraId="364A1DE4" w14:textId="77777777" w:rsidR="002D2E0C" w:rsidRPr="002D2E0C" w:rsidRDefault="002D2E0C" w:rsidP="004E3C5B">
      <w:pPr>
        <w:adjustRightInd w:val="0"/>
        <w:snapToGrid w:val="0"/>
        <w:ind w:firstLine="560"/>
        <w:rPr>
          <w:rFonts w:ascii="楷体" w:eastAsia="楷体" w:hAnsi="楷体" w:hint="eastAsia"/>
          <w:color w:val="000000" w:themeColor="text1"/>
          <w:sz w:val="28"/>
        </w:rPr>
      </w:pPr>
    </w:p>
    <w:p w14:paraId="2B1DAB9E" w14:textId="77777777" w:rsidR="0011473F" w:rsidRPr="00805963" w:rsidRDefault="0011473F" w:rsidP="004E3C5B">
      <w:pPr>
        <w:adjustRightInd w:val="0"/>
        <w:snapToGrid w:val="0"/>
        <w:ind w:firstLine="562"/>
        <w:jc w:val="left"/>
        <w:rPr>
          <w:rFonts w:ascii="楷体" w:eastAsia="楷体" w:hAnsi="楷体" w:hint="eastAsia"/>
          <w:b/>
          <w:color w:val="000000" w:themeColor="text1"/>
          <w:sz w:val="28"/>
          <w:szCs w:val="28"/>
        </w:rPr>
      </w:pPr>
      <w:r w:rsidRPr="00805963">
        <w:rPr>
          <w:rFonts w:ascii="楷体" w:eastAsia="楷体" w:hAnsi="楷体" w:hint="eastAsia"/>
          <w:b/>
          <w:color w:val="000000" w:themeColor="text1"/>
          <w:sz w:val="28"/>
          <w:szCs w:val="28"/>
        </w:rPr>
        <w:t>附图说明</w:t>
      </w:r>
    </w:p>
    <w:p w14:paraId="0F317E93" w14:textId="77777777"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图1为本发明方法的整体流程图；</w:t>
      </w:r>
    </w:p>
    <w:p w14:paraId="78D189B7" w14:textId="1DE08857"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图2为时延内生闭环级联失效模型的外循环五步执行流程图</w:t>
      </w:r>
      <w:r>
        <w:rPr>
          <w:rFonts w:ascii="楷体" w:eastAsia="楷体" w:hAnsi="楷体" w:hint="eastAsia"/>
          <w:sz w:val="28"/>
          <w:szCs w:val="28"/>
        </w:rPr>
        <w:t>；</w:t>
      </w:r>
    </w:p>
    <w:p w14:paraId="199D3A27" w14:textId="72B827EC"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图3为信息物理电力系统双层耦合模型示意图；</w:t>
      </w:r>
    </w:p>
    <w:p w14:paraId="3FCCA9A2" w14:textId="5D881BD4"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lastRenderedPageBreak/>
        <w:t>图4为上行测量通道</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oMath>
      <w:r w:rsidRPr="00156C48">
        <w:rPr>
          <w:rFonts w:ascii="楷体" w:eastAsia="楷体" w:hAnsi="楷体"/>
          <w:sz w:val="28"/>
          <w:szCs w:val="28"/>
        </w:rPr>
        <w:t>与下行执行通道</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oMath>
      <w:r w:rsidRPr="00156C48">
        <w:rPr>
          <w:rFonts w:ascii="楷体" w:eastAsia="楷体" w:hAnsi="楷体"/>
          <w:sz w:val="28"/>
          <w:szCs w:val="28"/>
        </w:rPr>
        <w:t>的双通道时延分解示意图；</w:t>
      </w:r>
    </w:p>
    <w:p w14:paraId="29947FEC" w14:textId="28623A8A"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图5(a)为报文丢失因子随路径跳数变化的放大曲线示意图，图5(b)为控制饱和因子随时延变化的放大曲线示意图，图5(c)为稳定性崩溃因子随时延变化的放大曲线示意图，三者共同构成三因子控制效能函数</w:t>
      </w:r>
      <m:oMath>
        <m:r>
          <w:rPr>
            <w:rFonts w:ascii="Cambria Math" w:eastAsia="楷体" w:hAnsi="Cambria Math"/>
            <w:sz w:val="28"/>
            <w:szCs w:val="28"/>
          </w:rPr>
          <m:t>η</m:t>
        </m:r>
        <m:r>
          <w:rPr>
            <w:rFonts w:ascii="Cambria Math" w:eastAsia="楷体" w:hAnsi="Cambria Math" w:cs="Cambria Math"/>
            <w:sz w:val="28"/>
            <w:szCs w:val="28"/>
          </w:rPr>
          <m:t>⁺</m:t>
        </m:r>
        <m:r>
          <w:rPr>
            <w:rFonts w:ascii="Cambria Math" w:eastAsia="楷体" w:hAnsi="Cambria Math"/>
            <w:sz w:val="28"/>
            <w:szCs w:val="28"/>
          </w:rPr>
          <m:t>=Φ</m:t>
        </m:r>
        <m:r>
          <w:rPr>
            <w:rFonts w:ascii="Cambria Math" w:eastAsia="楷体" w:hAnsi="Cambria Math"/>
            <w:sz w:val="28"/>
            <w:szCs w:val="28"/>
            <w:vertAlign w:val="subscript"/>
          </w:rPr>
          <m:t>loss</m:t>
        </m:r>
        <m:r>
          <w:rPr>
            <w:rFonts w:ascii="Cambria Math" w:eastAsia="楷体" w:hAnsi="Cambria Math"/>
            <w:sz w:val="28"/>
            <w:szCs w:val="28"/>
          </w:rPr>
          <m:t>·Φ</m:t>
        </m:r>
        <m:r>
          <w:rPr>
            <w:rFonts w:ascii="Cambria Math" w:eastAsia="楷体" w:hAnsi="Cambria Math"/>
            <w:sz w:val="28"/>
            <w:szCs w:val="28"/>
            <w:vertAlign w:val="subscript"/>
          </w:rPr>
          <m:t>sat</m:t>
        </m:r>
        <m:r>
          <w:rPr>
            <w:rFonts w:ascii="Cambria Math" w:eastAsia="楷体" w:hAnsi="Cambria Math"/>
            <w:sz w:val="28"/>
            <w:szCs w:val="28"/>
          </w:rPr>
          <m:t>·Φ</m:t>
        </m:r>
        <m:r>
          <w:rPr>
            <w:rFonts w:ascii="Cambria Math" w:eastAsia="楷体" w:hAnsi="Cambria Math"/>
            <w:sz w:val="28"/>
            <w:szCs w:val="28"/>
            <w:vertAlign w:val="subscript"/>
          </w:rPr>
          <m:t>crit</m:t>
        </m:r>
      </m:oMath>
      <w:r w:rsidRPr="00156C48">
        <w:rPr>
          <w:rFonts w:ascii="楷体" w:eastAsia="楷体" w:hAnsi="楷体"/>
          <w:sz w:val="28"/>
          <w:szCs w:val="28"/>
        </w:rPr>
        <w:t>；</w:t>
      </w:r>
    </w:p>
    <w:p w14:paraId="40FC52EE" w14:textId="2CC89DEF"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图6为不同时延严重程度下供给守恒比LSR随容忍裕度</w:t>
      </w:r>
      <m:oMath>
        <m:r>
          <w:rPr>
            <w:rFonts w:ascii="Cambria Math" w:eastAsia="楷体" w:hAnsi="Cambria Math"/>
            <w:color w:val="000000" w:themeColor="text1"/>
            <w:sz w:val="28"/>
          </w:rPr>
          <m:t>α</m:t>
        </m:r>
      </m:oMath>
      <w:r w:rsidRPr="00156C48">
        <w:rPr>
          <w:rFonts w:ascii="楷体" w:eastAsia="楷体" w:hAnsi="楷体"/>
          <w:sz w:val="28"/>
          <w:szCs w:val="28"/>
        </w:rPr>
        <w:t>变化的结果图；</w:t>
      </w:r>
    </w:p>
    <w:p w14:paraId="2B065844" w14:textId="18B0E9A8"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图7为不同时延严重程度下调度保真误差DTE随容忍裕度</w:t>
      </w:r>
      <m:oMath>
        <m:r>
          <w:rPr>
            <w:rFonts w:ascii="Cambria Math" w:eastAsia="楷体" w:hAnsi="Cambria Math"/>
            <w:color w:val="000000" w:themeColor="text1"/>
            <w:sz w:val="28"/>
          </w:rPr>
          <m:t>α</m:t>
        </m:r>
      </m:oMath>
      <w:r w:rsidRPr="00156C48">
        <w:rPr>
          <w:rFonts w:ascii="楷体" w:eastAsia="楷体" w:hAnsi="楷体"/>
          <w:sz w:val="28"/>
          <w:szCs w:val="28"/>
        </w:rPr>
        <w:t>变化的结果图；</w:t>
      </w:r>
    </w:p>
    <w:p w14:paraId="2D750072" w14:textId="6C3CC756"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图8为时延惩罚在（轮次，</w:t>
      </w:r>
      <m:oMath>
        <m:r>
          <w:rPr>
            <w:rFonts w:ascii="Cambria Math" w:eastAsia="楷体" w:hAnsi="Cambria Math"/>
            <w:color w:val="000000" w:themeColor="text1"/>
            <w:sz w:val="28"/>
          </w:rPr>
          <m:t>α</m:t>
        </m:r>
      </m:oMath>
      <w:r w:rsidRPr="00156C48">
        <w:rPr>
          <w:rFonts w:ascii="楷体" w:eastAsia="楷体" w:hAnsi="楷体"/>
          <w:sz w:val="28"/>
          <w:szCs w:val="28"/>
        </w:rPr>
        <w:t>）平面上的时空结构热力图；</w:t>
      </w:r>
    </w:p>
    <w:p w14:paraId="7C9EE3C9" w14:textId="77777777" w:rsidR="00156C48" w:rsidRPr="00156C48" w:rsidRDefault="00156C48" w:rsidP="004E3C5B">
      <w:pPr>
        <w:ind w:firstLine="560"/>
        <w:rPr>
          <w:rFonts w:ascii="楷体" w:eastAsia="楷体" w:hAnsi="楷体" w:hint="eastAsia"/>
          <w:sz w:val="28"/>
          <w:szCs w:val="28"/>
        </w:rPr>
      </w:pPr>
      <w:r w:rsidRPr="00156C48">
        <w:rPr>
          <w:rFonts w:ascii="楷体" w:eastAsia="楷体" w:hAnsi="楷体"/>
          <w:sz w:val="28"/>
          <w:szCs w:val="28"/>
        </w:rPr>
        <w:t>图9为各时延分量单参数缓解动作的恢复度排序图。</w:t>
      </w:r>
    </w:p>
    <w:p w14:paraId="59ACBCA3" w14:textId="77777777" w:rsidR="0011473F" w:rsidRPr="00156C48" w:rsidRDefault="0011473F" w:rsidP="004E3C5B">
      <w:pPr>
        <w:adjustRightInd w:val="0"/>
        <w:snapToGrid w:val="0"/>
        <w:ind w:firstLine="560"/>
        <w:jc w:val="left"/>
        <w:rPr>
          <w:rFonts w:ascii="楷体" w:eastAsia="楷体" w:hAnsi="楷体" w:hint="eastAsia"/>
          <w:color w:val="000000" w:themeColor="text1"/>
          <w:sz w:val="28"/>
          <w:szCs w:val="28"/>
        </w:rPr>
      </w:pPr>
    </w:p>
    <w:p w14:paraId="52CDA2B7" w14:textId="77777777" w:rsidR="0011473F" w:rsidRPr="00805963" w:rsidRDefault="0011473F" w:rsidP="004E3C5B">
      <w:pPr>
        <w:adjustRightInd w:val="0"/>
        <w:snapToGrid w:val="0"/>
        <w:ind w:firstLine="562"/>
        <w:jc w:val="left"/>
        <w:rPr>
          <w:rFonts w:ascii="楷体" w:eastAsia="楷体" w:hAnsi="楷体" w:hint="eastAsia"/>
          <w:b/>
          <w:color w:val="000000" w:themeColor="text1"/>
          <w:sz w:val="28"/>
          <w:szCs w:val="28"/>
        </w:rPr>
      </w:pPr>
      <w:r w:rsidRPr="00805963">
        <w:rPr>
          <w:rFonts w:ascii="楷体" w:eastAsia="楷体" w:hAnsi="楷体" w:hint="eastAsia"/>
          <w:b/>
          <w:color w:val="000000" w:themeColor="text1"/>
          <w:sz w:val="28"/>
          <w:szCs w:val="28"/>
        </w:rPr>
        <w:t>具体实施方式</w:t>
      </w:r>
    </w:p>
    <w:p w14:paraId="35E816BB" w14:textId="77777777" w:rsidR="00913A73" w:rsidRPr="00805963" w:rsidRDefault="00EB1301" w:rsidP="004E3C5B">
      <w:pPr>
        <w:adjustRightInd w:val="0"/>
        <w:snapToGrid w:val="0"/>
        <w:ind w:firstLine="560"/>
        <w:jc w:val="left"/>
        <w:rPr>
          <w:rFonts w:ascii="楷体" w:eastAsia="楷体" w:hAnsi="楷体" w:cs="楷体" w:hint="eastAsia"/>
          <w:color w:val="000000" w:themeColor="text1"/>
          <w:sz w:val="28"/>
          <w:szCs w:val="28"/>
        </w:rPr>
      </w:pPr>
      <w:r w:rsidRPr="00805963">
        <w:rPr>
          <w:rFonts w:ascii="楷体" w:eastAsia="楷体" w:hAnsi="楷体" w:cs="楷体"/>
          <w:color w:val="000000" w:themeColor="text1"/>
          <w:sz w:val="28"/>
          <w:szCs w:val="28"/>
        </w:rPr>
        <w:t>下面结合具体实施例</w:t>
      </w:r>
      <w:r w:rsidRPr="00805963">
        <w:rPr>
          <w:rFonts w:ascii="楷体" w:eastAsia="楷体" w:hAnsi="楷体" w:cs="楷体" w:hint="eastAsia"/>
          <w:color w:val="000000" w:themeColor="text1"/>
          <w:sz w:val="28"/>
          <w:szCs w:val="28"/>
        </w:rPr>
        <w:t>对本发明进行</w:t>
      </w:r>
      <w:r w:rsidRPr="00805963">
        <w:rPr>
          <w:rFonts w:ascii="楷体" w:eastAsia="楷体" w:hAnsi="楷体" w:cs="楷体"/>
          <w:color w:val="000000" w:themeColor="text1"/>
          <w:sz w:val="28"/>
          <w:szCs w:val="28"/>
        </w:rPr>
        <w:t>详细</w:t>
      </w:r>
      <w:r w:rsidRPr="00805963">
        <w:rPr>
          <w:rFonts w:ascii="楷体" w:eastAsia="楷体" w:hAnsi="楷体" w:cs="楷体" w:hint="eastAsia"/>
          <w:color w:val="000000" w:themeColor="text1"/>
          <w:sz w:val="28"/>
          <w:szCs w:val="28"/>
        </w:rPr>
        <w:t>说明。以下实施例将有助于本领域的技术人员进一步理解本发明，但不以任何形式限制本发明。</w:t>
      </w:r>
      <w:r w:rsidR="00913A73" w:rsidRPr="00805963">
        <w:rPr>
          <w:rFonts w:ascii="楷体" w:eastAsia="楷体" w:hAnsi="楷体" w:cs="楷体" w:hint="eastAsia"/>
          <w:color w:val="000000" w:themeColor="text1"/>
          <w:sz w:val="28"/>
          <w:szCs w:val="28"/>
        </w:rPr>
        <w:t>需要说明的是，在不冲突的情况下，本发明中的实施例及实施例中的特征可以相互组合。</w:t>
      </w:r>
    </w:p>
    <w:p w14:paraId="23BCCC04" w14:textId="119A51F5" w:rsidR="004C75EC" w:rsidRDefault="00F550CF" w:rsidP="004E3C5B">
      <w:pPr>
        <w:adjustRightInd w:val="0"/>
        <w:snapToGrid w:val="0"/>
        <w:ind w:firstLine="560"/>
        <w:jc w:val="left"/>
        <w:rPr>
          <w:rFonts w:ascii="楷体" w:eastAsia="楷体" w:hAnsi="楷体" w:hint="eastAsia"/>
          <w:color w:val="000000" w:themeColor="text1"/>
          <w:sz w:val="28"/>
          <w:szCs w:val="28"/>
        </w:rPr>
      </w:pPr>
      <w:r w:rsidRPr="00360DC8">
        <w:rPr>
          <w:rFonts w:ascii="楷体" w:eastAsia="楷体" w:hAnsi="楷体"/>
          <w:color w:val="000000" w:themeColor="text1"/>
          <w:sz w:val="28"/>
        </w:rPr>
        <w:t>一种时延内生闭环的信息物理电力系统级联失效评估方法</w:t>
      </w:r>
      <w:r>
        <w:rPr>
          <w:rFonts w:ascii="楷体" w:eastAsia="楷体" w:hAnsi="楷体" w:hint="eastAsia"/>
          <w:color w:val="000000" w:themeColor="text1"/>
          <w:sz w:val="28"/>
        </w:rPr>
        <w:t>，</w:t>
      </w:r>
      <w:r w:rsidRPr="00F550CF">
        <w:rPr>
          <w:rFonts w:ascii="楷体" w:eastAsia="楷体" w:hAnsi="楷体"/>
          <w:color w:val="000000" w:themeColor="text1"/>
          <w:sz w:val="28"/>
        </w:rPr>
        <w:t>首先构建信息物理电力系统的双层耦合模型，其次以时延内生闭环级联失效模型逐轮迭代仿真，其中通过双通道时延分解与三因子控制效能函数在潮流之前对发电机出力进行退化，最后以双弹性指标评估鲁棒性并进行敏感性分析。</w:t>
      </w:r>
      <w:r w:rsidR="00C338EE" w:rsidRPr="00805963">
        <w:rPr>
          <w:rFonts w:ascii="楷体" w:eastAsia="楷体" w:hAnsi="楷体" w:hint="eastAsia"/>
          <w:color w:val="000000" w:themeColor="text1"/>
          <w:sz w:val="28"/>
          <w:szCs w:val="28"/>
        </w:rPr>
        <w:t>如图1所示，</w:t>
      </w:r>
      <w:r w:rsidRPr="00F550CF">
        <w:rPr>
          <w:rFonts w:ascii="楷体" w:eastAsia="楷体" w:hAnsi="楷体"/>
          <w:color w:val="000000" w:themeColor="text1"/>
          <w:sz w:val="28"/>
        </w:rPr>
        <w:t>本发明解决其技术问题所采用的技术方案包括以下步骤：</w:t>
      </w:r>
      <w:r w:rsidR="00C338EE">
        <w:rPr>
          <w:rFonts w:ascii="楷体" w:eastAsia="楷体" w:hAnsi="楷体" w:hint="eastAsia"/>
          <w:color w:val="000000" w:themeColor="text1"/>
          <w:sz w:val="28"/>
          <w:szCs w:val="28"/>
        </w:rPr>
        <w:t xml:space="preserve"> </w:t>
      </w:r>
    </w:p>
    <w:p w14:paraId="47FF4005" w14:textId="437A591E" w:rsidR="00F7383A" w:rsidRDefault="00F7383A" w:rsidP="004E3C5B">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1</w:t>
      </w:r>
      <w:r w:rsidRPr="004C4416">
        <w:rPr>
          <w:rFonts w:ascii="楷体" w:eastAsia="楷体" w:hAnsi="楷体" w:hint="eastAsia"/>
          <w:color w:val="000000" w:themeColor="text1"/>
          <w:sz w:val="28"/>
        </w:rPr>
        <w:t>、构建信息物理电力系统的双层耦合模型：以电力网络作为物理层、以通信网络作为信息层，确定通信网络中的控制中心节点，并以介数正相关的方式将物理层节点与信息层节点一一耦合；对物理层支路（所述物理层支路不是物理层节点，是指电力网络中连接两个母线节点的输电线路，由电力网络的拓扑数据直接确定）及信息层节点和信息层链路均按同一容忍裕度设定容量</w:t>
      </w:r>
      <w:r w:rsidRPr="004C4416">
        <w:rPr>
          <w:rFonts w:ascii="楷体" w:eastAsia="楷体" w:hAnsi="楷体" w:hint="eastAsia"/>
          <w:color w:val="000000" w:themeColor="text1"/>
          <w:sz w:val="28"/>
        </w:rPr>
        <w:t/>
      </w:r>
      <w:r>
        <w:rPr>
          <w:rFonts w:ascii="楷体" w:eastAsia="楷体" w:hAnsi="楷体" w:hint="eastAsia"/>
          <w:color w:val="000000" w:themeColor="text1"/>
          <w:sz w:val="28"/>
        </w:rPr>
        <w:t/>
      </w:r>
      <w:r w:rsidRPr="004C4416">
        <w:rPr>
          <w:rFonts w:ascii="楷体" w:eastAsia="楷体" w:hAnsi="楷体" w:hint="eastAsia"/>
          <w:color w:val="000000" w:themeColor="text1"/>
          <w:sz w:val="28"/>
        </w:rPr>
        <w:t/>
      </w:r>
      <w:r>
        <w:rPr>
          <w:rFonts w:ascii="楷体" w:eastAsia="楷体" w:hAnsi="楷体" w:hint="eastAsia"/>
          <w:color w:val="000000" w:themeColor="text1"/>
          <w:sz w:val="28"/>
        </w:rPr>
        <w:t>。</w:t>
      </w:r>
    </w:p>
    <w:p w14:paraId="2F44802D" w14:textId="77777777" w:rsidR="00BE1714" w:rsidRDefault="00F7383A" w:rsidP="004E3C5B">
      <w:pPr>
        <w:ind w:firstLine="560"/>
        <w:rPr>
          <w:rFonts w:ascii="楷体" w:eastAsia="楷体" w:hAnsi="楷体" w:hint="eastAsia"/>
          <w:sz w:val="28"/>
          <w:szCs w:val="28"/>
        </w:rPr>
      </w:pPr>
      <w:r>
        <w:rPr>
          <w:rFonts w:ascii="楷体" w:eastAsia="楷体" w:hAnsi="楷体" w:hint="eastAsia"/>
          <w:color w:val="000000" w:themeColor="text1"/>
          <w:sz w:val="28"/>
        </w:rPr>
        <w:t>本实施例中，</w:t>
      </w:r>
      <w:r w:rsidRPr="00E47A35">
        <w:rPr>
          <w:rFonts w:ascii="楷体" w:eastAsia="楷体" w:hAnsi="楷体"/>
          <w:sz w:val="28"/>
          <w:szCs w:val="28"/>
        </w:rPr>
        <w:t>物理层采用IEEE 39节点新英格兰系统（39个母线、10台发电机、46条支路），采用直流潮流近似</w:t>
      </w:r>
      <m:oMath>
        <m:r>
          <w:rPr>
            <w:rFonts w:ascii="Cambria Math" w:eastAsia="楷体" w:hAnsi="Cambria Math"/>
            <w:sz w:val="28"/>
            <w:szCs w:val="28"/>
          </w:rPr>
          <m:t>P=BΘ</m:t>
        </m:r>
      </m:oMath>
      <w:r w:rsidRPr="00E47A35">
        <w:rPr>
          <w:rFonts w:ascii="楷体" w:eastAsia="楷体" w:hAnsi="楷体"/>
          <w:sz w:val="28"/>
          <w:szCs w:val="28"/>
        </w:rPr>
        <w:t>，</w:t>
      </w:r>
      <m:oMath>
        <m:r>
          <w:rPr>
            <w:rFonts w:ascii="Cambria Math" w:eastAsia="楷体" w:hAnsi="Cambria Math"/>
            <w:sz w:val="28"/>
            <w:szCs w:val="28"/>
          </w:rPr>
          <m:t>B</m:t>
        </m:r>
      </m:oMath>
      <w:r w:rsidRPr="00E47A35">
        <w:rPr>
          <w:rFonts w:ascii="楷体" w:eastAsia="楷体" w:hAnsi="楷体"/>
          <w:sz w:val="28"/>
          <w:szCs w:val="28"/>
        </w:rPr>
        <w:t>为节点电纳矩阵，P为节点注入功率向量，Θ为节点电压相角向量；支路潮流</w:t>
      </w:r>
      <m:oMath>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hint="eastAsia"/>
                <w:sz w:val="28"/>
                <w:szCs w:val="28"/>
              </w:rPr>
              <m:t>e</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b</m:t>
            </m:r>
          </m:e>
          <m:sub>
            <m:r>
              <w:rPr>
                <w:rFonts w:ascii="Cambria Math" w:eastAsia="楷体" w:hAnsi="Cambria Math" w:hint="eastAsia"/>
                <w:sz w:val="28"/>
                <w:szCs w:val="28"/>
              </w:rPr>
              <m:t>ij</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θ</m:t>
            </m:r>
          </m:e>
          <m:sub>
            <m:r>
              <w:rPr>
                <w:rFonts w:ascii="Cambria Math" w:eastAsia="楷体" w:hAnsi="Cambria Math" w:hint="eastAsia"/>
                <w:sz w:val="28"/>
                <w:szCs w:val="28"/>
              </w:rPr>
              <m:t>i</m:t>
            </m:r>
          </m:sub>
        </m:sSub>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θ</m:t>
            </m:r>
          </m:e>
          <m:sub>
            <m:r>
              <w:rPr>
                <w:rFonts w:ascii="Cambria Math" w:eastAsia="楷体" w:hAnsi="Cambria Math" w:hint="eastAsia"/>
                <w:sz w:val="28"/>
                <w:szCs w:val="28"/>
              </w:rPr>
              <m:t>j</m:t>
            </m:r>
          </m:sub>
        </m:sSub>
        <m:r>
          <w:rPr>
            <w:rFonts w:ascii="Cambria Math" w:eastAsia="楷体" w:hAnsi="Cambria Math"/>
            <w:sz w:val="28"/>
            <w:szCs w:val="28"/>
          </w:rPr>
          <m:t>)</m:t>
        </m:r>
      </m:oMath>
      <w:r w:rsidRPr="00E47A35">
        <w:rPr>
          <w:rFonts w:ascii="楷体" w:eastAsia="楷体" w:hAnsi="楷体"/>
          <w:sz w:val="28"/>
          <w:szCs w:val="28"/>
        </w:rPr>
        <w:t>，式中，Pe为支路e上传输的有功潮流，bij为连接母线节点i与母线节点j的支路电纳，θi、θj分别为节点i和节点j的电压相角。信息层采用Barabási–Albert无标度网络，节点数</w:t>
      </w:r>
      <m:oMath>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V</m:t>
            </m:r>
          </m:e>
          <m:sub>
            <m:r>
              <w:rPr>
                <w:rFonts w:ascii="Cambria Math" w:eastAsia="楷体" w:hAnsi="Cambria Math"/>
                <w:sz w:val="28"/>
                <w:szCs w:val="28"/>
              </w:rPr>
              <m:t>C</m:t>
            </m:r>
          </m:sub>
        </m:sSub>
        <m:r>
          <w:rPr>
            <w:rFonts w:ascii="Cambria Math" w:eastAsia="楷体" w:hAnsi="Cambria Math"/>
            <w:sz w:val="28"/>
            <w:szCs w:val="28"/>
          </w:rPr>
          <m:t>|=47</m:t>
        </m:r>
      </m:oMath>
      <w:r w:rsidRPr="00E47A35">
        <w:rPr>
          <w:rFonts w:ascii="楷体" w:eastAsia="楷体" w:hAnsi="楷体"/>
          <w:sz w:val="28"/>
          <w:szCs w:val="28"/>
        </w:rPr>
        <w:t>（每个母线对应一个中继镜像节点，另加8个控制中心），由</w:t>
      </w:r>
      <m:oMath>
        <m:sSub>
          <m:sSubPr>
            <m:ctrlPr>
              <w:rPr>
                <w:rFonts w:ascii="Cambria Math" w:eastAsia="楷体" w:hAnsi="Cambria Math"/>
                <w:i/>
                <w:sz w:val="28"/>
                <w:szCs w:val="28"/>
              </w:rPr>
            </m:ctrlPr>
          </m:sSubPr>
          <m:e>
            <m:r>
              <w:rPr>
                <w:rFonts w:ascii="Cambria Math" w:eastAsia="楷体" w:hAnsi="Cambria Math"/>
                <w:sz w:val="28"/>
                <w:szCs w:val="28"/>
              </w:rPr>
              <m:t>m</m:t>
            </m:r>
          </m:e>
          <m:sub>
            <m:r>
              <w:rPr>
                <w:rFonts w:ascii="Cambria Math" w:eastAsia="楷体" w:hAnsi="Cambria Math"/>
                <w:sz w:val="28"/>
                <w:szCs w:val="28"/>
              </w:rPr>
              <m:t>0</m:t>
            </m:r>
          </m:sub>
        </m:sSub>
        <m:r>
          <w:rPr>
            <w:rFonts w:ascii="Cambria Math" w:eastAsia="楷体" w:hAnsi="Cambria Math"/>
            <w:sz w:val="28"/>
            <w:szCs w:val="28"/>
          </w:rPr>
          <m:t>=4</m:t>
        </m:r>
      </m:oMath>
      <w:r w:rsidRPr="00E47A35">
        <w:rPr>
          <w:rFonts w:ascii="楷体" w:eastAsia="楷体" w:hAnsi="楷体"/>
          <w:sz w:val="28"/>
          <w:szCs w:val="28"/>
        </w:rPr>
        <w:t>的种子按每节</w:t>
      </w:r>
      <w:r w:rsidRPr="00E47A35">
        <w:rPr>
          <w:rFonts w:ascii="楷体" w:eastAsia="楷体" w:hAnsi="楷体"/>
          <w:sz w:val="28"/>
          <w:szCs w:val="28"/>
        </w:rPr>
        <w:lastRenderedPageBreak/>
        <w:t>点新增</w:t>
      </w:r>
      <m:oMath>
        <m:sSub>
          <m:sSubPr>
            <m:ctrlPr>
              <w:rPr>
                <w:rFonts w:ascii="Cambria Math" w:eastAsia="楷体" w:hAnsi="Cambria Math"/>
                <w:i/>
                <w:sz w:val="28"/>
                <w:szCs w:val="28"/>
              </w:rPr>
            </m:ctrlPr>
          </m:sSubPr>
          <m:e>
            <m:r>
              <w:rPr>
                <w:rFonts w:ascii="Cambria Math" w:eastAsia="楷体" w:hAnsi="Cambria Math"/>
                <w:sz w:val="28"/>
                <w:szCs w:val="28"/>
              </w:rPr>
              <m:t>m</m:t>
            </m:r>
          </m:e>
          <m:sub>
            <m:r>
              <w:rPr>
                <w:rFonts w:ascii="Cambria Math" w:eastAsia="楷体" w:hAnsi="Cambria Math"/>
                <w:sz w:val="28"/>
                <w:szCs w:val="28"/>
              </w:rPr>
              <m:t>e</m:t>
            </m:r>
          </m:sub>
        </m:sSub>
        <m:r>
          <w:rPr>
            <w:rFonts w:ascii="Cambria Math" w:eastAsia="楷体" w:hAnsi="Cambria Math"/>
            <w:sz w:val="28"/>
            <w:szCs w:val="28"/>
          </w:rPr>
          <m:t>=2</m:t>
        </m:r>
      </m:oMath>
      <w:r w:rsidRPr="00E47A35">
        <w:rPr>
          <w:rFonts w:ascii="楷体" w:eastAsia="楷体" w:hAnsi="楷体"/>
          <w:sz w:val="28"/>
          <w:szCs w:val="28"/>
        </w:rPr>
        <w:t>条边生长。</w:t>
      </w:r>
    </w:p>
    <w:p w14:paraId="3A4378EA" w14:textId="1036A41B" w:rsidR="00F7383A" w:rsidRPr="00E47A35" w:rsidRDefault="00BE1714" w:rsidP="004E3C5B">
      <w:pPr>
        <w:ind w:firstLine="560"/>
        <w:rPr>
          <w:rFonts w:ascii="楷体" w:eastAsia="楷体" w:hAnsi="楷体" w:hint="eastAsia"/>
          <w:sz w:val="28"/>
          <w:szCs w:val="28"/>
        </w:rPr>
      </w:pPr>
      <w:r>
        <w:rPr>
          <w:rFonts w:ascii="楷体" w:eastAsia="楷体" w:hAnsi="楷体" w:hint="eastAsia"/>
          <w:sz w:val="28"/>
          <w:szCs w:val="28"/>
        </w:rPr>
        <w:t>进一步的，</w:t>
      </w:r>
      <w:r w:rsidR="00F7383A" w:rsidRPr="00E47A35">
        <w:rPr>
          <w:rFonts w:ascii="楷体" w:eastAsia="楷体" w:hAnsi="楷体"/>
          <w:sz w:val="28"/>
          <w:szCs w:val="28"/>
        </w:rPr>
        <w:t>控制中心按结构重要度评分</w:t>
      </w:r>
      <m:oMath>
        <m:sSub>
          <m:sSubPr>
            <m:ctrlPr>
              <w:rPr>
                <w:rFonts w:ascii="Cambria Math" w:eastAsia="楷体" w:hAnsi="Cambria Math"/>
                <w:i/>
                <w:sz w:val="28"/>
                <w:szCs w:val="28"/>
              </w:rPr>
            </m:ctrlPr>
          </m:sSubPr>
          <m:e>
            <m:r>
              <w:rPr>
                <w:rFonts w:ascii="Cambria Math" w:eastAsia="楷体" w:hAnsi="Cambria Math"/>
                <w:sz w:val="28"/>
                <w:szCs w:val="28"/>
              </w:rPr>
              <m:t>w</m:t>
            </m:r>
          </m:e>
          <m:sub>
            <m:r>
              <w:rPr>
                <w:rFonts w:ascii="Cambria Math" w:eastAsia="楷体" w:hAnsi="Cambria Math"/>
                <w:sz w:val="28"/>
                <w:szCs w:val="28"/>
              </w:rPr>
              <m:t>i</m:t>
            </m:r>
          </m:sub>
        </m:sSub>
        <m:r>
          <w:rPr>
            <w:rFonts w:ascii="Cambria Math" w:eastAsia="楷体" w:hAnsi="Cambria Math"/>
            <w:sz w:val="28"/>
            <w:szCs w:val="28"/>
          </w:rPr>
          <m:t>=</m:t>
        </m:r>
        <m:r>
          <w:rPr>
            <w:rFonts w:ascii="Cambria Math" w:eastAsia="楷体" w:hAnsi="Cambria Math"/>
            <w:sz w:val="28"/>
            <w:szCs w:val="28"/>
          </w:rPr>
          <m:t>（</m:t>
        </m:r>
        <m:acc>
          <m:accPr>
            <m:chr m:val="̃"/>
            <m:ctrlPr>
              <w:rPr>
                <w:rFonts w:ascii="Cambria Math" w:eastAsia="楷体" w:hAnsi="Cambria Math"/>
                <w:i/>
                <w:sz w:val="28"/>
                <w:szCs w:val="28"/>
              </w:rPr>
            </m:ctrlPr>
          </m:accPr>
          <m:e>
            <m:r>
              <w:rPr>
                <w:rFonts w:ascii="Cambria Math" w:eastAsia="楷体" w:hAnsi="Cambria Math"/>
                <w:sz w:val="28"/>
                <w:szCs w:val="28"/>
              </w:rPr>
              <m:t>B</m:t>
            </m:r>
          </m:e>
        </m:acc>
        <m:r>
          <w:rPr>
            <w:rFonts w:ascii="Cambria Math" w:eastAsia="楷体" w:hAnsi="Cambria Math"/>
            <w:sz w:val="28"/>
            <w:szCs w:val="28"/>
          </w:rPr>
          <m:t>(i)+</m:t>
        </m:r>
        <m:sSub>
          <m:sSubPr>
            <m:ctrlPr>
              <w:rPr>
                <w:rFonts w:ascii="Cambria Math" w:eastAsia="楷体" w:hAnsi="Cambria Math"/>
                <w:i/>
                <w:sz w:val="28"/>
                <w:szCs w:val="28"/>
              </w:rPr>
            </m:ctrlPr>
          </m:sSubPr>
          <m:e>
            <m:r>
              <w:rPr>
                <w:rFonts w:ascii="Cambria Math" w:eastAsia="楷体" w:hAnsi="Cambria Math"/>
                <w:sz w:val="28"/>
                <w:szCs w:val="28"/>
              </w:rPr>
              <m:t>K</m:t>
            </m:r>
          </m:e>
          <m:sub>
            <m:r>
              <w:rPr>
                <w:rFonts w:ascii="Cambria Math" w:eastAsia="楷体" w:hAnsi="Cambria Math"/>
                <w:sz w:val="28"/>
                <w:szCs w:val="28"/>
              </w:rPr>
              <m:t>s</m:t>
            </m:r>
          </m:sub>
        </m:sSub>
        <m:r>
          <w:rPr>
            <w:rFonts w:ascii="Cambria Math" w:eastAsia="楷体" w:hAnsi="Cambria Math"/>
            <w:sz w:val="28"/>
            <w:szCs w:val="28"/>
          </w:rPr>
          <m:t>(i)</m:t>
        </m:r>
        <m:r>
          <w:rPr>
            <w:rFonts w:ascii="Cambria Math" w:eastAsia="楷体" w:hAnsi="Cambria Math"/>
            <w:sz w:val="28"/>
            <w:szCs w:val="28"/>
          </w:rPr>
          <m:t>）</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C</m:t>
            </m:r>
          </m:e>
          <m:sub>
            <m:r>
              <w:rPr>
                <w:rFonts w:ascii="Cambria Math" w:eastAsia="楷体" w:hAnsi="Cambria Math"/>
                <w:sz w:val="28"/>
                <w:szCs w:val="28"/>
              </w:rPr>
              <m:t>l</m:t>
            </m:r>
          </m:sub>
        </m:sSub>
        <m:r>
          <w:rPr>
            <w:rFonts w:ascii="Cambria Math" w:eastAsia="楷体" w:hAnsi="Cambria Math"/>
            <w:sz w:val="28"/>
            <w:szCs w:val="28"/>
          </w:rPr>
          <m:t>(i)+D(i)·C(i)</m:t>
        </m:r>
      </m:oMath>
      <w:r w:rsidR="00F7383A" w:rsidRPr="00E47A35">
        <w:rPr>
          <w:rFonts w:ascii="楷体" w:eastAsia="楷体" w:hAnsi="楷体"/>
          <w:sz w:val="28"/>
          <w:szCs w:val="28"/>
        </w:rPr>
        <w:t>选取；式中，wi为信息层节点i的结构重要度评分，B(i)为节点i的归一化介数，Ks(i)为节点i的核数（即k-shell分解所得的壳层数），Cl(i)为节点i的聚类系数，D(i)为节点i的度，C(i)为节点i的接近中心性。每个母线通过介数正相关映射</w:t>
      </w:r>
      <m:oMath>
        <m:r>
          <w:rPr>
            <w:rFonts w:ascii="Cambria Math" w:eastAsia="楷体" w:hAnsi="Cambria Math"/>
            <w:sz w:val="28"/>
            <w:szCs w:val="28"/>
          </w:rPr>
          <m:t>A</m:t>
        </m:r>
        <m:r>
          <w:rPr>
            <w:rFonts w:ascii="Cambria Math" w:eastAsia="楷体" w:hAnsi="Cambria Math"/>
            <w:sz w:val="28"/>
            <w:szCs w:val="28"/>
            <w:vertAlign w:val="subscript"/>
          </w:rPr>
          <m:t>pc</m:t>
        </m:r>
      </m:oMath>
      <w:r w:rsidR="00F7383A" w:rsidRPr="00E47A35">
        <w:rPr>
          <w:rFonts w:ascii="楷体" w:eastAsia="楷体" w:hAnsi="楷体"/>
          <w:sz w:val="28"/>
          <w:szCs w:val="28"/>
        </w:rPr>
        <w:t>与一个信息层中继节点耦合：电气上最关键的节点匹配到通信上最中心的节点。所有元件容量按同一容忍裕度</w:t>
      </w:r>
      <m:oMath>
        <m:r>
          <w:rPr>
            <w:rFonts w:ascii="Cambria Math" w:eastAsia="楷体" w:hAnsi="Cambria Math"/>
            <w:sz w:val="28"/>
            <w:szCs w:val="28"/>
          </w:rPr>
          <m:t>α</m:t>
        </m:r>
      </m:oMath>
      <w:r w:rsidR="00F7383A" w:rsidRPr="00E47A35">
        <w:rPr>
          <w:rFonts w:ascii="楷体" w:eastAsia="楷体" w:hAnsi="楷体"/>
          <w:sz w:val="28"/>
          <w:szCs w:val="28"/>
        </w:rPr>
        <w:t>设定：支路</w:t>
      </w:r>
      <m:oMath>
        <m:r>
          <w:rPr>
            <w:rFonts w:ascii="Cambria Math" w:eastAsia="楷体" w:hAnsi="Cambria Math"/>
            <w:sz w:val="28"/>
            <w:szCs w:val="28"/>
          </w:rPr>
          <m:t>C</m:t>
        </m:r>
        <m:r>
          <w:rPr>
            <w:rFonts w:ascii="Cambria Math" w:eastAsia="楷体" w:hAnsi="Cambria Math"/>
            <w:sz w:val="28"/>
            <w:szCs w:val="28"/>
            <w:vertAlign w:val="subscript"/>
          </w:rPr>
          <m:t>e</m:t>
        </m:r>
        <m:r>
          <w:rPr>
            <w:rFonts w:ascii="Cambria Math" w:eastAsia="楷体" w:hAnsi="Cambria Math"/>
            <w:sz w:val="28"/>
            <w:szCs w:val="28"/>
          </w:rPr>
          <m:t>=(1+α)|P</m:t>
        </m:r>
        <m:r>
          <w:rPr>
            <w:rFonts w:ascii="Cambria Math" w:eastAsia="楷体" w:hAnsi="Cambria Math"/>
            <w:sz w:val="28"/>
            <w:szCs w:val="28"/>
            <w:vertAlign w:val="subscript"/>
          </w:rPr>
          <m:t>e</m:t>
        </m:r>
        <m:r>
          <w:rPr>
            <w:rFonts w:ascii="Cambria Math" w:eastAsia="楷体" w:hAnsi="Cambria Math"/>
            <w:sz w:val="28"/>
            <w:szCs w:val="28"/>
            <w:vertAlign w:val="superscript"/>
          </w:rPr>
          <m:t>(0)</m:t>
        </m:r>
        <m:r>
          <w:rPr>
            <w:rFonts w:ascii="Cambria Math" w:eastAsia="楷体" w:hAnsi="Cambria Math"/>
            <w:sz w:val="28"/>
            <w:szCs w:val="28"/>
          </w:rPr>
          <m:t>|</m:t>
        </m:r>
      </m:oMath>
      <w:r w:rsidR="00F7383A" w:rsidRPr="00E47A35">
        <w:rPr>
          <w:rFonts w:ascii="楷体" w:eastAsia="楷体" w:hAnsi="楷体"/>
          <w:sz w:val="28"/>
          <w:szCs w:val="28"/>
        </w:rPr>
        <w:t>，</w:t>
      </w:r>
      <w:r w:rsidR="00F7383A" w:rsidRPr="00E47A35">
        <w:rPr>
          <w:rFonts w:ascii="楷体" w:eastAsia="楷体" w:hAnsi="楷体"/>
          <w:sz w:val="28"/>
          <w:szCs w:val="28"/>
        </w:rPr>
        <w:t>信息层节点/链路</w:t>
      </w:r>
      <m:oMath>
        <m:r>
          <w:rPr>
            <w:rFonts w:ascii="Cambria Math" w:eastAsia="楷体" w:hAnsi="Cambria Math"/>
            <w:sz w:val="28"/>
            <w:szCs w:val="28"/>
          </w:rPr>
          <m:t>(1+α)B</m:t>
        </m:r>
        <m:r>
          <w:rPr>
            <w:rFonts w:ascii="Cambria Math" w:eastAsia="楷体" w:hAnsi="Cambria Math"/>
            <w:sz w:val="28"/>
            <w:szCs w:val="28"/>
            <w:vertAlign w:val="superscript"/>
          </w:rPr>
          <m:t>(0)</m:t>
        </m:r>
      </m:oMath>
      <w:r w:rsidR="00F7383A" w:rsidRPr="00E47A35">
        <w:rPr>
          <w:rFonts w:ascii="楷体" w:eastAsia="楷体" w:hAnsi="楷体"/>
          <w:sz w:val="28"/>
          <w:szCs w:val="28"/>
        </w:rPr>
        <w:t>；</w:t>
      </w:r>
      <m:oMath>
        <m:r>
          <w:rPr>
            <w:rFonts w:ascii="Cambria Math" w:eastAsia="楷体" w:hAnsi="Cambria Math"/>
            <w:sz w:val="28"/>
            <w:szCs w:val="28"/>
          </w:rPr>
          <m:t>α</m:t>
        </m:r>
      </m:oMath>
      <w:r w:rsidR="00F7383A" w:rsidRPr="00E47A35">
        <w:rPr>
          <w:rFonts w:ascii="楷体" w:eastAsia="楷体" w:hAnsi="楷体"/>
          <w:sz w:val="28"/>
          <w:szCs w:val="28"/>
        </w:rPr>
        <w:t>为容忍裕度，是统一的运行裕度杠杆，也是敏感性分析的主轴；式中，Ce为物理层支路e的容量，Pe(0)为支路e的初始潮流，B(0)为信息层节点或信息层链路的初始带宽。</w:t>
      </w:r>
    </w:p>
    <w:p w14:paraId="777F46C4" w14:textId="172A2AB6" w:rsidR="009B1541" w:rsidRDefault="009B1541" w:rsidP="004E3C5B">
      <w:pPr>
        <w:adjustRightInd w:val="0"/>
        <w:snapToGrid w:val="0"/>
        <w:ind w:firstLine="560"/>
        <w:jc w:val="left"/>
        <w:rPr>
          <w:rFonts w:ascii="楷体" w:eastAsia="楷体" w:hAnsi="楷体" w:hint="eastAsia"/>
          <w:color w:val="000000" w:themeColor="text1"/>
          <w:sz w:val="28"/>
        </w:rPr>
      </w:pPr>
      <w:r w:rsidRPr="004C4416">
        <w:rPr>
          <w:rFonts w:ascii="楷体" w:eastAsia="楷体" w:hAnsi="楷体" w:hint="eastAsia"/>
          <w:color w:val="000000" w:themeColor="text1"/>
          <w:sz w:val="28"/>
        </w:rPr>
        <w:t>步骤</w:t>
      </w:r>
      <w:r>
        <w:rPr>
          <w:rFonts w:ascii="楷体" w:eastAsia="楷体" w:hAnsi="楷体" w:hint="eastAsia"/>
          <w:color w:val="000000" w:themeColor="text1"/>
          <w:sz w:val="28"/>
        </w:rPr>
        <w:t>2</w:t>
      </w:r>
      <w:r w:rsidRPr="004C4416">
        <w:rPr>
          <w:rFonts w:ascii="楷体" w:eastAsia="楷体" w:hAnsi="楷体" w:hint="eastAsia"/>
          <w:color w:val="000000" w:themeColor="text1"/>
          <w:sz w:val="28"/>
        </w:rPr>
        <w:t>、</w:t>
      </w:r>
      <w:r w:rsidRPr="00282A99">
        <w:rPr>
          <w:rFonts w:ascii="楷体" w:eastAsia="楷体" w:hAnsi="楷体"/>
          <w:color w:val="000000" w:themeColor="text1"/>
          <w:sz w:val="28"/>
        </w:rPr>
        <w:t>以时延内生闭环级联失效模型对系统进行逐轮迭代仿真，所述时延内生闭环级联失效模型是本发明构建的、将通信时延作为级联过程内生状态量的级联失效仿真模型，其结构为逐轮执行的外循环迭代，每一轮迭代依次执行信息层过载检查、逐机组时延评估、潮流前出力缩放、直流潮流重分配和时延耦合低频减载五个子步骤，且各轮之间通过时延反馈形成闭环：</w:t>
      </w:r>
      <w:r w:rsidRPr="00282A99">
        <w:rPr>
          <w:rFonts w:ascii="楷体" w:eastAsia="楷体" w:hAnsi="楷体"/>
          <w:color w:val="000000" w:themeColor="text1"/>
          <w:sz w:val="28"/>
        </w:rPr>
        <w:t/>
      </w:r>
      <w:r w:rsidRPr="00282A99">
        <w:rPr>
          <w:rFonts w:ascii="楷体" w:eastAsia="楷体" w:hAnsi="楷体"/>
          <w:color w:val="000000" w:themeColor="text1"/>
          <w:sz w:val="28"/>
        </w:rPr>
        <w:t>在每一轮级联中，</w:t>
      </w:r>
      <w:r w:rsidRPr="000913C5">
        <w:rPr>
          <w:rFonts w:ascii="楷体" w:eastAsia="楷体" w:hAnsi="楷体"/>
          <w:color w:val="000000" w:themeColor="text1"/>
          <w:sz w:val="28"/>
        </w:rPr>
        <w:t>先进行结构性故障的跨层传播</w:t>
      </w:r>
      <w:r w:rsidRPr="00282A99">
        <w:rPr>
          <w:rFonts w:ascii="楷体" w:eastAsia="楷体" w:hAnsi="楷体"/>
          <w:color w:val="000000" w:themeColor="text1"/>
          <w:sz w:val="28"/>
        </w:rPr>
        <w:t>，再在当前受损拓扑（所述当前受损拓扑是指从初始双层耦合拓扑中移除截至当前已失效的节点和链路后、由存活的信息层节点和信息层链路构成的通信网络拓扑）上为每台存活发电机计算通信时延</w:t>
      </w:r>
      <w:r w:rsidRPr="00282A99">
        <w:rPr>
          <w:rFonts w:ascii="楷体" w:eastAsia="楷体" w:hAnsi="楷体"/>
          <w:color w:val="000000" w:themeColor="text1"/>
          <w:sz w:val="28"/>
        </w:rPr>
        <w:t/>
      </w:r>
      <w:r w:rsidRPr="00282A99">
        <w:rPr>
          <w:rFonts w:ascii="楷体" w:eastAsia="楷体" w:hAnsi="楷体"/>
          <w:color w:val="000000" w:themeColor="text1"/>
          <w:sz w:val="28"/>
        </w:rPr>
        <w:t>，并根据时延通过控制效能因子对该发电机出力进行缩放，得到时延退化后的实际出力，然后以时延退化后的实际出力求解直流潮流以确定支路过载，最后执行随时延加深的时延耦合低频减载；上述时延在每一轮均在当前拓扑上重新计算并反馈到下一轮，形成闭环</w:t>
      </w:r>
      <w:r w:rsidR="002B3AA7">
        <w:rPr>
          <w:rFonts w:ascii="楷体" w:eastAsia="楷体" w:hAnsi="楷体" w:hint="eastAsia"/>
          <w:color w:val="000000" w:themeColor="text1"/>
          <w:sz w:val="28"/>
        </w:rPr>
        <w:t>。</w:t>
      </w:r>
    </w:p>
    <w:p w14:paraId="13362D5C" w14:textId="364EB457" w:rsidR="009C5CBC" w:rsidRPr="00006162" w:rsidRDefault="009C5CBC"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具体的，</w:t>
      </w:r>
      <w:r w:rsidRPr="004C4416">
        <w:rPr>
          <w:rFonts w:ascii="楷体" w:eastAsia="楷体" w:hAnsi="楷体" w:hint="eastAsia"/>
          <w:color w:val="000000" w:themeColor="text1"/>
          <w:sz w:val="28"/>
        </w:rPr>
        <w:t>通信时延沿路径计算：单条链路时延等于报文大小除以链路带宽</w:t>
      </w:r>
      <w:r w:rsidRPr="00006162">
        <w:rPr>
          <w:rFonts w:ascii="楷体" w:eastAsia="楷体" w:hAnsi="楷体" w:hint="eastAsia"/>
          <w:color w:val="000000" w:themeColor="text1"/>
          <w:sz w:val="28"/>
        </w:rPr>
        <w:t>的商加上链路长度除以信号传播速度的商：</w:t>
      </w:r>
      <m:oMath>
        <m:sSub>
          <m:sSubPr>
            <m:ctrlPr>
              <w:rPr>
                <w:rFonts w:ascii="Cambria Math" w:eastAsia="楷体" w:hAnsi="Cambria Math"/>
                <w:i/>
                <w:sz w:val="28"/>
                <w:szCs w:val="28"/>
              </w:rPr>
            </m:ctrlPr>
          </m:sSubPr>
          <m:e>
            <m:r>
              <w:rPr>
                <w:rFonts w:ascii="Cambria Math" w:eastAsia="楷体" w:hAnsi="Cambria Math"/>
                <w:sz w:val="28"/>
                <w:szCs w:val="28"/>
              </w:rPr>
              <m:t>T</m:t>
            </m:r>
          </m:e>
          <m:sub>
            <m:r>
              <w:rPr>
                <w:rFonts w:ascii="Cambria Math" w:eastAsia="楷体" w:hAnsi="Cambria Math" w:hint="eastAsia"/>
                <w:sz w:val="28"/>
                <w:szCs w:val="28"/>
              </w:rPr>
              <m:t>link</m:t>
            </m:r>
          </m:sub>
        </m:sSub>
        <m:r>
          <w:rPr>
            <w:rFonts w:ascii="Cambria Math" w:eastAsia="楷体" w:hAnsi="Cambria Math"/>
            <w:sz w:val="28"/>
            <w:szCs w:val="28"/>
          </w:rPr>
          <m:t>=S/R+d/V</m:t>
        </m:r>
      </m:oMath>
      <w:r w:rsidRPr="00006162">
        <w:rPr>
          <w:rFonts w:ascii="楷体" w:eastAsia="楷体" w:hAnsi="楷体" w:hint="eastAsia"/>
          <w:color w:val="000000" w:themeColor="text1"/>
          <w:sz w:val="28"/>
        </w:rPr>
        <w:t>；一条路径的总时延在所述单条链路时延之外还包括端点收发处理时间以及每个中间节点的转发时间，且所述控制中心节点的转发时间小于普通中继节点的转发时间。</w:t>
      </w:r>
    </w:p>
    <w:p w14:paraId="2076EC3A" w14:textId="134DBE09" w:rsidR="009C5CBC" w:rsidRPr="00006162" w:rsidRDefault="009C5CBC" w:rsidP="004E3C5B">
      <w:pPr>
        <w:adjustRightInd w:val="0"/>
        <w:snapToGrid w:val="0"/>
        <w:ind w:firstLine="560"/>
        <w:jc w:val="left"/>
        <w:rPr>
          <w:rFonts w:ascii="楷体" w:eastAsia="楷体" w:hAnsi="楷体" w:hint="eastAsia"/>
          <w:color w:val="000000" w:themeColor="text1"/>
          <w:sz w:val="28"/>
        </w:rPr>
      </w:pPr>
      <w:r w:rsidRPr="00006162">
        <w:rPr>
          <w:rFonts w:ascii="楷体" w:eastAsia="楷体" w:hAnsi="楷体" w:hint="eastAsia"/>
          <w:color w:val="000000" w:themeColor="text1"/>
          <w:sz w:val="28"/>
        </w:rPr>
        <w:t>进一步的，所述上行测量通道时延为：发电厂母线至非控制中心节点的发送处理时延，加上上行路径上的传输总时延，再加上排队时延</w:t>
      </w:r>
      <w:r w:rsidR="00A21CD0" w:rsidRPr="00006162">
        <w:rPr>
          <w:rFonts w:ascii="楷体" w:eastAsia="楷体" w:hAnsi="楷体" w:hint="eastAsia"/>
          <w:color w:val="000000" w:themeColor="text1"/>
          <w:sz w:val="28"/>
        </w:rPr>
        <w:t>，表达式如下：</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vertAlign w:val="subscript"/>
              </w:rPr>
              <m:t>m,i</m:t>
            </m:r>
          </m:sub>
        </m:sSub>
        <m:r>
          <w:rPr>
            <w:rFonts w:ascii="Cambria Math" w:eastAsia="楷体" w:hAnsi="Cambria Math"/>
            <w:sz w:val="28"/>
            <w:szCs w:val="28"/>
          </w:rPr>
          <m:t>=τ</m:t>
        </m:r>
        <m:r>
          <w:rPr>
            <w:rFonts w:ascii="Cambria Math" w:eastAsia="楷体" w:hAnsi="Cambria Math"/>
            <w:sz w:val="28"/>
            <w:szCs w:val="28"/>
            <w:vertAlign w:val="subscript"/>
          </w:rPr>
          <m:t>(PB→</m:t>
        </m:r>
        <m:sSub>
          <m:sSubPr>
            <m:ctrlPr>
              <w:rPr>
                <w:rFonts w:ascii="Cambria Math" w:eastAsia="楷体" w:hAnsi="Cambria Math"/>
                <w:i/>
                <w:sz w:val="28"/>
                <w:szCs w:val="28"/>
                <w:vertAlign w:val="subscript"/>
              </w:rPr>
            </m:ctrlPr>
          </m:sSubPr>
          <m:e>
            <m:r>
              <w:rPr>
                <w:rFonts w:ascii="Cambria Math" w:eastAsia="楷体" w:hAnsi="Cambria Math"/>
                <w:sz w:val="28"/>
                <w:szCs w:val="28"/>
                <w:vertAlign w:val="subscript"/>
              </w:rPr>
              <m:t>non</m:t>
            </m:r>
          </m:e>
          <m:sub>
            <m:r>
              <w:rPr>
                <w:rFonts w:ascii="Cambria Math" w:eastAsia="楷体" w:hAnsi="Cambria Math"/>
                <w:sz w:val="28"/>
                <w:szCs w:val="28"/>
                <w:vertAlign w:val="subscript"/>
              </w:rPr>
              <m:t>CC</m:t>
            </m:r>
          </m:sub>
        </m:sSub>
        <m:r>
          <w:rPr>
            <w:rFonts w:ascii="Cambria Math" w:eastAsia="楷体" w:hAnsi="Cambria Math"/>
            <w:sz w:val="28"/>
            <w:szCs w:val="28"/>
            <w:vertAlign w:val="subscript"/>
          </w:rPr>
          <m:t>)</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T</m:t>
            </m:r>
          </m:e>
          <m:sub>
            <m:r>
              <w:rPr>
                <w:rFonts w:ascii="Cambria Math" w:eastAsia="楷体" w:hAnsi="Cambria Math"/>
                <w:sz w:val="28"/>
                <w:szCs w:val="28"/>
                <w:vertAlign w:val="subscript"/>
              </w:rPr>
              <m:t>up</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π</m:t>
            </m:r>
          </m:e>
          <m:sub>
            <m:r>
              <w:rPr>
                <w:rFonts w:ascii="Cambria Math" w:eastAsia="楷体" w:hAnsi="Cambria Math"/>
                <w:sz w:val="28"/>
                <w:szCs w:val="28"/>
              </w:rPr>
              <m:t>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rPr>
              <m:t>q</m:t>
            </m:r>
          </m:sub>
        </m:sSub>
      </m:oMath>
      <w:r w:rsidR="00A21CD0" w:rsidRPr="00006162">
        <w:rPr>
          <w:rFonts w:ascii="楷体" w:eastAsia="楷体" w:hAnsi="楷体" w:hint="eastAsia"/>
          <w:color w:val="000000" w:themeColor="text1"/>
          <w:sz w:val="28"/>
        </w:rPr>
        <w:t>,</w:t>
      </w:r>
      <w:r w:rsidR="00A21CD0" w:rsidRPr="00006162">
        <w:rPr>
          <w:rFonts w:ascii="楷体" w:eastAsia="楷体" w:hAnsi="楷体"/>
          <w:color w:val="000000" w:themeColor="text1"/>
          <w:sz w:val="28"/>
        </w:rPr>
        <w:t>承载较大的量测报文</w:t>
      </w:r>
      <w:r w:rsidRPr="00006162">
        <w:rPr>
          <w:rFonts w:ascii="楷体" w:eastAsia="楷体" w:hAnsi="楷体" w:hint="eastAsia"/>
          <w:color w:val="000000" w:themeColor="text1"/>
          <w:sz w:val="28"/>
        </w:rPr>
        <w:t>；所述下行执行通道时延为：非控制中心节点至发电厂母线的接收处理时延，加上下行路径上的传输总时延，再加上排队时延</w:t>
      </w:r>
      <w:r w:rsidR="00A21CD0" w:rsidRPr="00006162">
        <w:rPr>
          <w:rFonts w:ascii="楷体" w:eastAsia="楷体" w:hAnsi="楷体" w:hint="eastAsia"/>
          <w:color w:val="000000" w:themeColor="text1"/>
          <w:sz w:val="28"/>
        </w:rPr>
        <w:t>，表达式如下:</w:t>
      </w:r>
      <w:r w:rsidR="00A21CD0" w:rsidRPr="00006162">
        <w:rPr>
          <w:rFonts w:ascii="楷体" w:eastAsia="楷体" w:hAnsi="楷体"/>
          <w:sz w:val="28"/>
          <w:szCs w:val="28"/>
        </w:rPr>
        <w:t xml:space="preserve"> </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vertAlign w:val="subscript"/>
              </w:rPr>
              <m:t>e,i</m:t>
            </m:r>
          </m:sub>
        </m:sSub>
        <m:r>
          <w:rPr>
            <w:rFonts w:ascii="Cambria Math" w:eastAsia="楷体" w:hAnsi="Cambria Math"/>
            <w:sz w:val="28"/>
            <w:szCs w:val="28"/>
          </w:rPr>
          <m:t>=τ</m:t>
        </m:r>
        <m:r>
          <w:rPr>
            <w:rFonts w:ascii="Cambria Math" w:eastAsia="楷体" w:hAnsi="Cambria Math"/>
            <w:sz w:val="28"/>
            <w:szCs w:val="28"/>
            <w:vertAlign w:val="subscript"/>
          </w:rPr>
          <m:t>(</m:t>
        </m:r>
        <m:sSub>
          <m:sSubPr>
            <m:ctrlPr>
              <w:rPr>
                <w:rFonts w:ascii="Cambria Math" w:eastAsia="楷体" w:hAnsi="Cambria Math"/>
                <w:i/>
                <w:sz w:val="28"/>
                <w:szCs w:val="28"/>
                <w:vertAlign w:val="subscript"/>
              </w:rPr>
            </m:ctrlPr>
          </m:sSubPr>
          <m:e>
            <m:r>
              <w:rPr>
                <w:rFonts w:ascii="Cambria Math" w:eastAsia="楷体" w:hAnsi="Cambria Math"/>
                <w:sz w:val="28"/>
                <w:szCs w:val="28"/>
                <w:vertAlign w:val="subscript"/>
              </w:rPr>
              <m:t>non</m:t>
            </m:r>
          </m:e>
          <m:sub>
            <m:r>
              <w:rPr>
                <w:rFonts w:ascii="Cambria Math" w:eastAsia="楷体" w:hAnsi="Cambria Math"/>
                <w:sz w:val="28"/>
                <w:szCs w:val="28"/>
                <w:vertAlign w:val="subscript"/>
              </w:rPr>
              <m:t>CC</m:t>
            </m:r>
          </m:sub>
        </m:sSub>
        <m:r>
          <w:rPr>
            <w:rFonts w:ascii="Cambria Math" w:eastAsia="楷体" w:hAnsi="Cambria Math"/>
            <w:sz w:val="28"/>
            <w:szCs w:val="28"/>
            <w:vertAlign w:val="subscript"/>
          </w:rPr>
          <m:t>→PB)</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T</m:t>
            </m:r>
          </m:e>
          <m:sub>
            <m:r>
              <w:rPr>
                <w:rFonts w:ascii="Cambria Math" w:eastAsia="楷体" w:hAnsi="Cambria Math"/>
                <w:sz w:val="28"/>
                <w:szCs w:val="28"/>
                <w:vertAlign w:val="subscript"/>
              </w:rPr>
              <m:t>down</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π</m:t>
            </m:r>
          </m:e>
          <m:sub>
            <m:r>
              <w:rPr>
                <w:rFonts w:ascii="Cambria Math" w:eastAsia="楷体" w:hAnsi="Cambria Math"/>
                <w:sz w:val="28"/>
                <w:szCs w:val="28"/>
              </w:rPr>
              <m:t>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sz w:val="28"/>
                <w:szCs w:val="28"/>
              </w:rPr>
              <m:t>q</m:t>
            </m:r>
          </m:sub>
        </m:sSub>
      </m:oMath>
      <w:r w:rsidR="00A21CD0" w:rsidRPr="00006162">
        <w:rPr>
          <w:rFonts w:ascii="楷体" w:eastAsia="楷体" w:hAnsi="楷体" w:hint="eastAsia"/>
          <w:color w:val="000000" w:themeColor="text1"/>
          <w:sz w:val="28"/>
        </w:rPr>
        <w:t>,</w:t>
      </w:r>
      <w:r w:rsidR="00A21CD0" w:rsidRPr="00006162">
        <w:rPr>
          <w:rFonts w:ascii="楷体" w:eastAsia="楷体" w:hAnsi="楷体"/>
          <w:sz w:val="28"/>
          <w:szCs w:val="28"/>
        </w:rPr>
        <w:t xml:space="preserve"> 承载较小的命令报文。</w:t>
      </w:r>
      <w:r w:rsidRPr="00006162">
        <w:rPr>
          <w:rFonts w:ascii="楷体" w:eastAsia="楷体" w:hAnsi="楷体" w:hint="eastAsia"/>
          <w:color w:val="000000" w:themeColor="text1"/>
          <w:sz w:val="28"/>
        </w:rPr>
        <w:t>上行通道承载量测报文，下行通道承载命令报文，两通道对同一拓扑变化的响应不同</w:t>
      </w:r>
      <w:r w:rsidR="00A21CD0" w:rsidRPr="00006162">
        <w:rPr>
          <w:rFonts w:ascii="楷体" w:eastAsia="楷体" w:hAnsi="楷体" w:hint="eastAsia"/>
          <w:color w:val="000000" w:themeColor="text1"/>
          <w:sz w:val="28"/>
        </w:rPr>
        <w:t>,</w:t>
      </w:r>
      <w:r w:rsidR="00A21CD0" w:rsidRPr="00006162">
        <w:rPr>
          <w:rFonts w:ascii="楷体" w:eastAsia="楷体" w:hAnsi="楷体" w:hint="eastAsia"/>
        </w:rPr>
        <w:t xml:space="preserve"> </w:t>
      </w:r>
      <w:r w:rsidR="00A21CD0" w:rsidRPr="00006162">
        <w:rPr>
          <w:rFonts w:ascii="楷体" w:eastAsia="楷体" w:hAnsi="楷体"/>
          <w:color w:val="000000" w:themeColor="text1"/>
          <w:sz w:val="28"/>
        </w:rPr>
        <w:t>为后续将可恢复损伤归因到具体接口提供了条件。</w:t>
      </w:r>
    </w:p>
    <w:p w14:paraId="0D5143B1" w14:textId="13DD74B3" w:rsidR="009C5CBC" w:rsidRPr="00006162" w:rsidRDefault="0051339E"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进一步的，本实施例中，</w:t>
      </w:r>
      <w:r w:rsidR="009C5CBC" w:rsidRPr="00006162">
        <w:rPr>
          <w:rFonts w:ascii="楷体" w:eastAsia="楷体" w:hAnsi="楷体" w:hint="eastAsia"/>
          <w:color w:val="000000" w:themeColor="text1"/>
          <w:sz w:val="28"/>
        </w:rPr>
        <w:t>三因子控制效能因子采用的是三因子</w:t>
      </w:r>
      <w:r w:rsidR="009C5CBC" w:rsidRPr="00006162">
        <w:rPr>
          <w:rFonts w:ascii="楷体" w:eastAsia="楷体" w:hAnsi="楷体"/>
          <w:color w:val="000000" w:themeColor="text1"/>
          <w:sz w:val="28"/>
        </w:rPr>
        <w:t>连乘形式</w:t>
      </w:r>
      <w:r w:rsidRPr="00006162">
        <w:rPr>
          <w:rFonts w:ascii="楷体" w:eastAsia="楷体" w:hAnsi="楷体" w:hint="eastAsia"/>
          <w:color w:val="000000" w:themeColor="text1"/>
          <w:sz w:val="28"/>
        </w:rPr>
        <w:t>：</w:t>
      </w:r>
      <m:oMath>
        <m:r>
          <w:rPr>
            <w:rFonts w:ascii="Cambria Math" w:eastAsia="楷体" w:hAnsi="Cambria Math"/>
            <w:sz w:val="28"/>
            <w:szCs w:val="28"/>
          </w:rPr>
          <w:lastRenderedPageBreak/>
          <m:t>η⁺</m:t>
        </m:r>
        <m:r>
          <w:rPr>
            <w:rFonts w:ascii="Cambria Math" w:eastAsia="楷体" w:hAnsi="Cambria Math"/>
            <w:sz w:val="28"/>
            <w:szCs w:val="28"/>
            <w:vertAlign w:val="subscript"/>
          </w:rPr>
          <m:t>i</m:t>
        </m:r>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loss,i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sat,i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hint="eastAsia"/>
                <w:sz w:val="28"/>
                <w:szCs w:val="28"/>
                <w:vertAlign w:val="subscript"/>
              </w:rPr>
              <m:t>c</m:t>
            </m:r>
            <m:r>
              <w:rPr>
                <w:rFonts w:ascii="Cambria Math" w:eastAsia="楷体" w:hAnsi="Cambria Math"/>
                <w:sz w:val="28"/>
                <w:szCs w:val="28"/>
                <w:vertAlign w:val="subscript"/>
              </w:rPr>
              <m:t>rit,i</m:t>
            </m:r>
          </m:sub>
        </m:sSub>
        <m:r>
          <w:rPr>
            <w:rFonts w:ascii="Cambria Math" w:eastAsia="楷体" w:hAnsi="Cambria Math"/>
            <w:sz w:val="28"/>
            <w:szCs w:val="28"/>
          </w:rPr>
          <m:t>∈[0,1]</m:t>
        </m:r>
      </m:oMath>
      <w:r w:rsidR="009C5CBC" w:rsidRPr="00006162">
        <w:rPr>
          <w:rFonts w:ascii="楷体" w:eastAsia="楷体" w:hAnsi="楷体" w:hint="eastAsia"/>
          <w:color w:val="000000" w:themeColor="text1"/>
          <w:sz w:val="28"/>
        </w:rPr>
        <w:t>，</w:t>
      </w:r>
      <w:r w:rsidRPr="00006162">
        <w:rPr>
          <w:rFonts w:ascii="楷体" w:eastAsia="楷体" w:hAnsi="楷体"/>
          <w:sz w:val="28"/>
          <w:szCs w:val="28"/>
        </w:rPr>
        <w:t>各因子归一化使所有时延为零时</w:t>
      </w:r>
      <m:oMath>
        <m:r>
          <w:rPr>
            <w:rFonts w:ascii="Cambria Math" w:eastAsia="楷体" w:hAnsi="Cambria Math"/>
            <w:sz w:val="28"/>
            <w:szCs w:val="28"/>
          </w:rPr>
          <m:t>η</m:t>
        </m:r>
        <m:r>
          <w:rPr>
            <w:rFonts w:ascii="Cambria Math" w:eastAsia="楷体" w:hAnsi="Cambria Math" w:cs="Cambria Math"/>
            <w:sz w:val="28"/>
            <w:szCs w:val="28"/>
          </w:rPr>
          <m:t>⁺</m:t>
        </m:r>
        <m:r>
          <w:rPr>
            <w:rFonts w:ascii="Cambria Math" w:eastAsia="楷体" w:hAnsi="Cambria Math"/>
            <w:sz w:val="28"/>
            <w:szCs w:val="28"/>
            <w:vertAlign w:val="subscript"/>
          </w:rPr>
          <m:t>i</m:t>
        </m:r>
        <m:r>
          <w:rPr>
            <w:rFonts w:ascii="Cambria Math" w:eastAsia="楷体" w:hAnsi="Cambria Math"/>
            <w:sz w:val="28"/>
            <w:szCs w:val="28"/>
          </w:rPr>
          <m:t>=1</m:t>
        </m:r>
      </m:oMath>
      <w:r w:rsidRPr="00006162">
        <w:rPr>
          <w:rFonts w:ascii="楷体" w:eastAsia="楷体" w:hAnsi="楷体"/>
          <w:sz w:val="28"/>
          <w:szCs w:val="28"/>
        </w:rPr>
        <w:t>：</w:t>
      </w:r>
      <w:r w:rsidR="009C5CBC" w:rsidRPr="00006162">
        <w:rPr>
          <w:rFonts w:ascii="楷体" w:eastAsia="楷体" w:hAnsi="楷体" w:hint="eastAsia"/>
          <w:color w:val="000000" w:themeColor="text1"/>
          <w:sz w:val="28"/>
        </w:rPr>
        <w:t>所述三因子分别为报文丢失因子、控制饱和因子、稳定性崩溃因子。</w:t>
      </w:r>
    </w:p>
    <w:p w14:paraId="69E6D705" w14:textId="7CA1E51D" w:rsidR="00006162" w:rsidRPr="00006162" w:rsidRDefault="0051339E"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其中，</w:t>
      </w:r>
      <w:r w:rsidR="009C5CBC" w:rsidRPr="00006162">
        <w:rPr>
          <w:rFonts w:ascii="楷体" w:eastAsia="楷体" w:hAnsi="楷体" w:hint="eastAsia"/>
          <w:color w:val="000000" w:themeColor="text1"/>
          <w:sz w:val="28"/>
        </w:rPr>
        <w:t>报文丢失因子等于一减去单跳丢包率的差的路径跳数次幂，其中路径跳数为上行路径跳数与下行路径跳数之和</w:t>
      </w:r>
      <w:r w:rsidRPr="00006162">
        <w:rPr>
          <w:rFonts w:ascii="楷体" w:eastAsia="楷体" w:hAnsi="楷体" w:hint="eastAsia"/>
          <w:color w:val="000000" w:themeColor="text1"/>
          <w:sz w:val="28"/>
        </w:rPr>
        <w:t>：</w:t>
      </w:r>
      <m:oMath>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loss</m:t>
            </m:r>
          </m:sub>
        </m:sSub>
        <m:r>
          <w:rPr>
            <w:rFonts w:ascii="Cambria Math" w:eastAsia="楷体" w:hAnsi="Cambria Math"/>
            <w:sz w:val="28"/>
            <w:szCs w:val="28"/>
          </w:rPr>
          <m:t>=</m:t>
        </m:r>
        <m:sSup>
          <m:sSupPr>
            <m:ctrlPr>
              <w:rPr>
                <w:rFonts w:ascii="Cambria Math" w:eastAsia="楷体" w:hAnsi="Cambria Math"/>
                <w:i/>
                <w:sz w:val="28"/>
                <w:szCs w:val="28"/>
              </w:rPr>
            </m:ctrlPr>
          </m:sSupPr>
          <m:e>
            <m:r>
              <w:rPr>
                <w:rFonts w:ascii="Cambria Math" w:eastAsia="楷体" w:hAnsi="Cambria Math"/>
                <w:sz w:val="28"/>
                <w:szCs w:val="28"/>
              </w:rPr>
              <m:t>(1</m:t>
            </m:r>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cs="Cambria Math"/>
                    <w:sz w:val="28"/>
                    <w:szCs w:val="28"/>
                  </w:rPr>
                  <m:t>h</m:t>
                </m:r>
                <m:r>
                  <w:rPr>
                    <w:rFonts w:ascii="Cambria Math" w:eastAsia="楷体" w:hAnsi="Cambria Math" w:hint="eastAsia"/>
                    <w:sz w:val="28"/>
                    <w:szCs w:val="28"/>
                  </w:rPr>
                  <m:t>op</m:t>
                </m:r>
              </m:sub>
            </m:sSub>
            <m:r>
              <w:rPr>
                <w:rFonts w:ascii="Cambria Math" w:eastAsia="楷体" w:hAnsi="Cambria Math"/>
                <w:sz w:val="28"/>
                <w:szCs w:val="28"/>
              </w:rPr>
              <m:t>)</m:t>
            </m:r>
          </m:e>
          <m:sup>
            <m:sSub>
              <m:sSubPr>
                <m:ctrlPr>
                  <w:rPr>
                    <w:rFonts w:ascii="Cambria Math" w:eastAsia="楷体" w:hAnsi="Cambria Math"/>
                    <w:i/>
                    <w:sz w:val="28"/>
                    <w:szCs w:val="28"/>
                  </w:rPr>
                </m:ctrlPr>
              </m:sSubPr>
              <m:e>
                <m:r>
                  <w:rPr>
                    <w:rFonts w:ascii="Cambria Math" w:eastAsia="楷体" w:hAnsi="Cambria Math" w:hint="eastAsia"/>
                    <w:sz w:val="28"/>
                    <w:szCs w:val="28"/>
                  </w:rPr>
                  <m:t>n</m:t>
                </m:r>
              </m:e>
              <m:sub>
                <m:r>
                  <w:rPr>
                    <w:rFonts w:ascii="Cambria Math" w:eastAsia="楷体" w:hAnsi="Cambria Math" w:cs="Cambria Math"/>
                    <w:sz w:val="28"/>
                    <w:szCs w:val="28"/>
                  </w:rPr>
                  <m:t>h</m:t>
                </m:r>
                <m:r>
                  <w:rPr>
                    <w:rFonts w:ascii="Cambria Math" w:eastAsia="楷体" w:hAnsi="Cambria Math" w:hint="eastAsia"/>
                    <w:sz w:val="28"/>
                    <w:szCs w:val="28"/>
                  </w:rPr>
                  <m:t>ops</m:t>
                </m:r>
              </m:sub>
            </m:sSub>
          </m:sup>
        </m:sSup>
      </m:oMath>
      <w:r w:rsidR="00006162" w:rsidRPr="00006162">
        <w:rPr>
          <w:rFonts w:ascii="楷体" w:eastAsia="楷体" w:hAnsi="楷体"/>
          <w:sz w:val="28"/>
          <w:szCs w:val="28"/>
        </w:rPr>
        <w:t>，</w:t>
      </w:r>
      <m:oMath>
        <m:sSub>
          <m:sSubPr>
            <m:ctrlPr>
              <w:rPr>
                <w:rFonts w:ascii="Cambria Math" w:eastAsia="楷体" w:hAnsi="Cambria Math"/>
                <w:i/>
                <w:sz w:val="28"/>
                <w:szCs w:val="28"/>
              </w:rPr>
            </m:ctrlPr>
          </m:sSubPr>
          <m:e>
            <m:r>
              <w:rPr>
                <w:rFonts w:ascii="Cambria Math" w:eastAsia="楷体" w:hAnsi="Cambria Math" w:hint="eastAsia"/>
                <w:sz w:val="28"/>
                <w:szCs w:val="28"/>
              </w:rPr>
              <m:t>n</m:t>
            </m:r>
          </m:e>
          <m:sub>
            <m:r>
              <w:rPr>
                <w:rFonts w:ascii="Cambria Math" w:eastAsia="楷体" w:hAnsi="Cambria Math" w:cs="Cambria Math"/>
                <w:sz w:val="28"/>
                <w:szCs w:val="28"/>
              </w:rPr>
              <m:t>h</m:t>
            </m:r>
            <m:r>
              <w:rPr>
                <w:rFonts w:ascii="Cambria Math" w:eastAsia="楷体" w:hAnsi="Cambria Math" w:hint="eastAsia"/>
                <w:sz w:val="28"/>
                <w:szCs w:val="28"/>
              </w:rPr>
              <m:t>ops</m:t>
            </m:r>
          </m:sub>
        </m:sSub>
      </m:oMath>
      <w:r w:rsidR="00006162" w:rsidRPr="00006162">
        <w:rPr>
          <w:rFonts w:ascii="楷体" w:eastAsia="楷体" w:hAnsi="楷体"/>
          <w:sz w:val="28"/>
          <w:szCs w:val="28"/>
        </w:rPr>
        <w:t>为上、下行路径跳数之和，由拓扑而非时延幅值决定，故长多跳路径即便无时延也不能达到满保留；</w:t>
      </w:r>
    </w:p>
    <w:p w14:paraId="40AE124F" w14:textId="590CAFC8" w:rsidR="00006162" w:rsidRPr="00006162" w:rsidRDefault="009C5CBC"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所述控制饱和因子等于自然常数</w:t>
      </w:r>
      <m:oMath>
        <m:r>
          <w:rPr>
            <w:rFonts w:ascii="Cambria Math" w:eastAsia="楷体" w:hAnsi="Cambria Math" w:hint="eastAsia"/>
            <w:color w:val="000000" w:themeColor="text1"/>
            <w:sz w:val="28"/>
          </w:rPr>
          <m:t>e</m:t>
        </m:r>
      </m:oMath>
      <w:r w:rsidRPr="00006162">
        <w:rPr>
          <w:rFonts w:ascii="楷体" w:eastAsia="楷体" w:hAnsi="楷体" w:hint="eastAsia"/>
          <w:color w:val="000000" w:themeColor="text1"/>
          <w:sz w:val="28"/>
        </w:rPr>
        <w:t>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r w:rsidR="00006162" w:rsidRPr="00006162">
        <w:rPr>
          <w:rFonts w:ascii="楷体" w:eastAsia="楷体" w:hAnsi="楷体" w:hint="eastAsia"/>
          <w:color w:val="000000" w:themeColor="text1"/>
          <w:sz w:val="28"/>
        </w:rPr>
        <w:t>：</w:t>
      </w:r>
      <m:oMath>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sz w:val="28"/>
                <w:szCs w:val="28"/>
                <w:vertAlign w:val="subscript"/>
              </w:rPr>
              <m:t>sat</m:t>
            </m:r>
          </m:sub>
        </m:sSub>
        <m:r>
          <w:rPr>
            <w:rFonts w:ascii="Cambria Math" w:eastAsia="楷体" w:hAnsi="Cambria Math"/>
            <w:sz w:val="28"/>
            <w:szCs w:val="28"/>
          </w:rPr>
          <m:t>=exp[</m:t>
        </m:r>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a</m:t>
            </m:r>
          </m:e>
          <m:sub>
            <m:r>
              <w:rPr>
                <w:rFonts w:ascii="Cambria Math" w:eastAsia="楷体" w:hAnsi="Cambria Math" w:hint="eastAsia"/>
                <w:sz w:val="28"/>
                <w:szCs w:val="28"/>
              </w:rPr>
              <m:t>m</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m0</m:t>
            </m:r>
          </m:sub>
        </m:sSub>
        <m:r>
          <w:rPr>
            <w:rFonts w:ascii="Cambria Math" w:eastAsia="楷体" w:hAnsi="Cambria Math"/>
            <w:sz w:val="28"/>
            <w:szCs w:val="28"/>
          </w:rPr>
          <m:t>)</m:t>
        </m:r>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a</m:t>
            </m:r>
          </m:e>
          <m:sub>
            <m:r>
              <w:rPr>
                <w:rFonts w:ascii="Cambria Math" w:eastAsia="楷体" w:hAnsi="Cambria Math" w:hint="eastAsia"/>
                <w:sz w:val="28"/>
                <w:szCs w:val="28"/>
              </w:rPr>
              <m:t>e</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r>
          <w:rPr>
            <w:rFonts w:ascii="Cambria Math" w:eastAsia="楷体" w:hAnsi="Cambria Math" w:cs="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e0</m:t>
            </m:r>
          </m:sub>
        </m:sSub>
        <m:r>
          <w:rPr>
            <w:rFonts w:ascii="Cambria Math" w:eastAsia="楷体" w:hAnsi="Cambria Math"/>
            <w:sz w:val="28"/>
            <w:szCs w:val="28"/>
          </w:rPr>
          <m:t>)</m:t>
        </m:r>
        <m:r>
          <w:rPr>
            <w:rFonts w:ascii="Cambria Math" w:eastAsia="楷体" w:hAnsi="Cambria Math" w:cs="Cambria Math"/>
            <w:sz w:val="28"/>
            <w:szCs w:val="28"/>
          </w:rPr>
          <m:t>⁺</m:t>
        </m:r>
        <m:r>
          <w:rPr>
            <w:rFonts w:ascii="Cambria Math" w:eastAsia="楷体" w:hAnsi="Cambria Math"/>
            <w:sz w:val="28"/>
            <w:szCs w:val="28"/>
          </w:rPr>
          <m:t>]</m:t>
        </m:r>
      </m:oMath>
      <w:r w:rsidR="00006162" w:rsidRPr="00006162">
        <w:rPr>
          <w:rFonts w:ascii="楷体" w:eastAsia="楷体" w:hAnsi="楷体"/>
          <w:sz w:val="28"/>
          <w:szCs w:val="28"/>
        </w:rPr>
        <w:t>，在各通道死区（采样/执行周期）以内影响可忽略，超过后可用出力随两通道时延之和指数衰减；</w:t>
      </w:r>
    </w:p>
    <w:p w14:paraId="314F157B" w14:textId="410CAAA4" w:rsidR="00006162" w:rsidRPr="00006162" w:rsidRDefault="009C5CBC" w:rsidP="004E3C5B">
      <w:pPr>
        <w:ind w:firstLine="560"/>
        <w:rPr>
          <w:rFonts w:ascii="楷体" w:eastAsia="楷体" w:hAnsi="楷体" w:hint="eastAsia"/>
          <w:sz w:val="28"/>
          <w:szCs w:val="28"/>
        </w:rPr>
      </w:pPr>
      <w:r w:rsidRPr="00006162">
        <w:rPr>
          <w:rFonts w:ascii="楷体" w:eastAsia="楷体" w:hAnsi="楷体" w:hint="eastAsia"/>
          <w:color w:val="000000" w:themeColor="text1"/>
          <w:sz w:val="28"/>
        </w:rPr>
        <w:t>所述稳定性崩溃因子等于一加上自然常数e的负陡度系数的和，除以一加上自然常数e的以下幂：陡度系数乘以上行测量通道时延与下行执行通道时延之和减去第i台发电机的临界时延阈值的差再除以该临界时延阈值；所述第i台发电机的临界时延阈值等于预设的最大临界时延阈值乘以第i台发电机的额定容量除以所有存活发电机额定容量的最大值</w:t>
      </w:r>
      <w:r w:rsidR="00006162" w:rsidRPr="00006162">
        <w:rPr>
          <w:rFonts w:ascii="楷体" w:eastAsia="楷体" w:hAnsi="楷体" w:hint="eastAsia"/>
          <w:color w:val="000000" w:themeColor="text1"/>
          <w:sz w:val="28"/>
        </w:rPr>
        <w:t>：</w:t>
      </w:r>
      <m:oMath>
        <m:sSub>
          <m:sSubPr>
            <m:ctrlPr>
              <w:rPr>
                <w:rFonts w:ascii="Cambria Math" w:eastAsia="楷体" w:hAnsi="Cambria Math"/>
                <w:i/>
                <w:sz w:val="28"/>
                <w:szCs w:val="28"/>
              </w:rPr>
            </m:ctrlPr>
          </m:sSubPr>
          <m:e>
            <m:r>
              <w:rPr>
                <w:rFonts w:ascii="Cambria Math" w:eastAsia="楷体" w:hAnsi="Cambria Math"/>
                <w:sz w:val="28"/>
                <w:szCs w:val="28"/>
              </w:rPr>
              <m:t>Φ</m:t>
            </m:r>
          </m:e>
          <m:sub>
            <m:r>
              <w:rPr>
                <w:rFonts w:ascii="Cambria Math" w:eastAsia="楷体" w:hAnsi="Cambria Math" w:hint="eastAsia"/>
                <w:sz w:val="28"/>
                <w:szCs w:val="28"/>
                <w:vertAlign w:val="subscript"/>
              </w:rPr>
              <m:t>c</m:t>
            </m:r>
            <m:r>
              <w:rPr>
                <w:rFonts w:ascii="Cambria Math" w:eastAsia="楷体" w:hAnsi="Cambria Math"/>
                <w:sz w:val="28"/>
                <w:szCs w:val="28"/>
                <w:vertAlign w:val="subscript"/>
              </w:rPr>
              <m:t>rit</m:t>
            </m:r>
          </m:sub>
        </m:sSub>
        <m:r>
          <w:rPr>
            <w:rFonts w:ascii="Cambria Math" w:eastAsia="楷体" w:hAnsi="Cambria Math"/>
            <w:sz w:val="28"/>
            <w:szCs w:val="28"/>
          </w:rPr>
          <m:t>=(1+</m:t>
        </m:r>
        <m:sSup>
          <m:sSupPr>
            <m:ctrlPr>
              <w:rPr>
                <w:rFonts w:ascii="Cambria Math" w:eastAsia="楷体" w:hAnsi="Cambria Math"/>
                <w:i/>
                <w:sz w:val="28"/>
                <w:szCs w:val="28"/>
              </w:rPr>
            </m:ctrlPr>
          </m:sSupPr>
          <m:e>
            <m:r>
              <w:rPr>
                <w:rFonts w:ascii="Cambria Math" w:eastAsia="楷体" w:hAnsi="Cambria Math"/>
                <w:sz w:val="28"/>
                <w:szCs w:val="28"/>
              </w:rPr>
              <m:t>e</m:t>
            </m:r>
          </m:e>
          <m:sup>
            <m:r>
              <w:rPr>
                <w:rFonts w:ascii="Cambria Math" w:eastAsia="楷体" w:hAnsi="Cambria Math" w:cs="Cambria Math"/>
                <w:sz w:val="28"/>
                <w:szCs w:val="28"/>
                <w:vertAlign w:val="superscript"/>
              </w:rPr>
              <m:t>-</m:t>
            </m:r>
            <m:r>
              <w:rPr>
                <w:rFonts w:ascii="Cambria Math" w:eastAsia="楷体" w:hAnsi="Cambria Math"/>
                <w:sz w:val="28"/>
                <w:szCs w:val="28"/>
                <w:vertAlign w:val="superscript"/>
              </w:rPr>
              <m:t>β</m:t>
            </m:r>
          </m:sup>
        </m:sSup>
        <m:r>
          <w:rPr>
            <w:rFonts w:ascii="Cambria Math" w:eastAsia="楷体" w:hAnsi="Cambria Math"/>
            <w:sz w:val="28"/>
            <w:szCs w:val="28"/>
          </w:rPr>
          <m:t>)/(1+exp[β·((</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r>
          <w:rPr>
            <w:rFonts w:ascii="Cambria Math" w:eastAsia="楷体" w:hAnsi="Cambria Math"/>
            <w:sz w:val="28"/>
            <w:szCs w:val="28"/>
            <w:vertAlign w:val="subscript"/>
          </w:rPr>
          <m:t>+</m:t>
        </m:r>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r>
          <w:rPr>
            <w:rFonts w:ascii="Cambria Math" w:eastAsia="楷体" w:hAnsi="Cambria Math"/>
            <w:sz w:val="28"/>
            <w:szCs w:val="28"/>
          </w:rPr>
          <m:t>)</m:t>
        </m:r>
        <m:r>
          <w:rPr>
            <w:rFonts w:ascii="Cambria Math" w:eastAsia="楷体" w:hAnsi="Cambria Math" w:cs="Cambria Math"/>
            <w:sz w:val="28"/>
            <w:szCs w:val="28"/>
          </w:rPr>
          <m:t>-</m:t>
        </m:r>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,i</m:t>
            </m:r>
          </m:sub>
        </m:sSub>
        <m:r>
          <w:rPr>
            <w:rFonts w:ascii="Cambria Math" w:eastAsia="楷体" w:hAnsi="Cambria Math"/>
            <w:sz w:val="28"/>
            <w:szCs w:val="28"/>
          </w:rPr>
          <m:t>)/</m:t>
        </m:r>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,i</m:t>
            </m:r>
          </m:sub>
        </m:sSub>
        <m:r>
          <w:rPr>
            <w:rFonts w:ascii="Cambria Math" w:eastAsia="楷体" w:hAnsi="Cambria Math"/>
            <w:sz w:val="28"/>
            <w:szCs w:val="28"/>
          </w:rPr>
          <m:t>])</m:t>
        </m:r>
      </m:oMath>
      <w:r w:rsidR="00006162" w:rsidRPr="00006162">
        <w:rPr>
          <w:rFonts w:ascii="楷体" w:eastAsia="楷体" w:hAnsi="楷体"/>
          <w:sz w:val="28"/>
          <w:szCs w:val="28"/>
        </w:rPr>
        <w:t>，机组相关阈值</w:t>
      </w:r>
      <m:oMath>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,i</m:t>
            </m:r>
          </m:sub>
        </m:sSub>
        <m:r>
          <w:rPr>
            <w:rFonts w:ascii="Cambria Math" w:eastAsia="楷体" w:hAnsi="Cambria Math"/>
            <w:sz w:val="28"/>
            <w:szCs w:val="28"/>
          </w:rPr>
          <m:t>=</m:t>
        </m:r>
        <m:sSub>
          <m:sSubPr>
            <m:ctrlPr>
              <w:rPr>
                <w:rFonts w:ascii="Cambria Math" w:eastAsia="楷体" w:hAnsi="Cambria Math" w:cs="楷体"/>
                <w:i/>
                <w:sz w:val="28"/>
                <w:szCs w:val="28"/>
              </w:rPr>
            </m:ctrlPr>
          </m:sSubPr>
          <m:e>
            <m:r>
              <w:rPr>
                <w:rFonts w:ascii="Cambria Math" w:eastAsia="楷体" w:hAnsi="Cambria Math" w:cs="楷体" w:hint="eastAsia"/>
                <w:sz w:val="28"/>
                <w:szCs w:val="28"/>
              </w:rPr>
              <m:t>τ</m:t>
            </m:r>
          </m:e>
          <m:sub>
            <m:r>
              <w:rPr>
                <w:rFonts w:ascii="Cambria Math" w:eastAsia="楷体" w:hAnsi="Cambria Math" w:cs="楷体" w:hint="eastAsia"/>
                <w:sz w:val="28"/>
                <w:szCs w:val="28"/>
              </w:rPr>
              <m:t>crit</m:t>
            </m:r>
            <m:r>
              <w:rPr>
                <w:rFonts w:ascii="Cambria Math" w:eastAsia="楷体" w:hAnsi="Cambria Math"/>
                <w:sz w:val="28"/>
                <w:szCs w:val="28"/>
                <w:vertAlign w:val="subscript"/>
              </w:rPr>
              <m:t>,max</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sz w:val="28"/>
                <w:szCs w:val="28"/>
                <w:vertAlign w:val="subscript"/>
              </w:rPr>
              <m:t>g,i</m:t>
            </m:r>
          </m:sub>
        </m:sSub>
        <m:r>
          <w:rPr>
            <w:rFonts w:ascii="Cambria Math" w:eastAsia="楷体" w:hAnsi="Cambria Math"/>
            <w:sz w:val="28"/>
            <w:szCs w:val="28"/>
          </w:rPr>
          <m:t>/</m:t>
        </m:r>
        <m:sSub>
          <m:sSubPr>
            <m:ctrlPr>
              <w:rPr>
                <w:rFonts w:ascii="Cambria Math" w:eastAsia="楷体" w:hAnsi="Cambria Math"/>
                <w:i/>
                <w:sz w:val="28"/>
                <w:szCs w:val="28"/>
              </w:rPr>
            </m:ctrlPr>
          </m:sSubPr>
          <m:e>
            <m:r>
              <w:rPr>
                <w:rFonts w:ascii="Cambria Math" w:eastAsia="楷体" w:hAnsi="Cambria Math"/>
                <w:sz w:val="28"/>
                <w:szCs w:val="28"/>
              </w:rPr>
              <m:t>max</m:t>
            </m:r>
          </m:e>
          <m:sub>
            <m:r>
              <w:rPr>
                <w:rFonts w:ascii="Cambria Math" w:eastAsia="楷体" w:hAnsi="Cambria Math" w:hint="eastAsia"/>
                <w:sz w:val="28"/>
                <w:szCs w:val="28"/>
              </w:rPr>
              <m:t>j</m:t>
            </m:r>
          </m:sub>
        </m:sSub>
        <m:r>
          <w:rPr>
            <w:rFonts w:ascii="Cambria Math" w:eastAsia="楷体" w:hAnsi="Cambria Math"/>
            <w:sz w:val="28"/>
            <w:szCs w:val="28"/>
          </w:rPr>
          <m:t xml:space="preserve"> </m:t>
        </m:r>
        <m:sSub>
          <m:sSubPr>
            <m:ctrlPr>
              <w:rPr>
                <w:rFonts w:ascii="Cambria Math" w:eastAsia="楷体" w:hAnsi="Cambria Math"/>
                <w:i/>
                <w:sz w:val="28"/>
                <w:szCs w:val="28"/>
              </w:rPr>
            </m:ctrlPr>
          </m:sSubPr>
          <m:e>
            <m:r>
              <w:rPr>
                <w:rFonts w:ascii="Cambria Math" w:eastAsia="楷体" w:hAnsi="Cambria Math"/>
                <w:sz w:val="28"/>
                <w:szCs w:val="28"/>
              </w:rPr>
              <m:t>P</m:t>
            </m:r>
          </m:e>
          <m:sub>
            <m:r>
              <w:rPr>
                <w:rFonts w:ascii="Cambria Math" w:eastAsia="楷体" w:hAnsi="Cambria Math"/>
                <w:sz w:val="28"/>
                <w:szCs w:val="28"/>
                <w:vertAlign w:val="subscript"/>
              </w:rPr>
              <m:t>g,i</m:t>
            </m:r>
          </m:sub>
        </m:sSub>
      </m:oMath>
      <w:r w:rsidR="00006162" w:rsidRPr="00006162">
        <w:rPr>
          <w:rFonts w:ascii="楷体" w:eastAsia="楷体" w:hAnsi="楷体"/>
          <w:sz w:val="28"/>
          <w:szCs w:val="28"/>
        </w:rPr>
        <w:t>随机组额定容量缩放，使同一绝对时延对大机组几乎无影响而使小机组出力归零，这一异质性是非对称、机组特定损伤的微观来源。三因子分别作用于可靠性、控制带宽、稳定性三条正交轴，因而任一故障可直接由对应因子读出，这是单一黑箱惩罚曲线无法提供的。</w:t>
      </w:r>
    </w:p>
    <w:p w14:paraId="16E8E586" w14:textId="24DD438A" w:rsidR="002B3AA7" w:rsidRPr="004C4416" w:rsidRDefault="00846412"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进一步的设置</w:t>
      </w:r>
      <w:r w:rsidR="004E3C5B">
        <w:rPr>
          <w:rFonts w:ascii="楷体" w:eastAsia="楷体" w:hAnsi="楷体" w:hint="eastAsia"/>
          <w:color w:val="000000" w:themeColor="text1"/>
          <w:sz w:val="28"/>
        </w:rPr>
        <w:t>，</w:t>
      </w:r>
      <w:r w:rsidRPr="00846412">
        <w:rPr>
          <w:rFonts w:ascii="楷体" w:eastAsia="楷体" w:hAnsi="楷体"/>
          <w:color w:val="000000" w:themeColor="text1"/>
          <w:sz w:val="28"/>
        </w:rPr>
        <w:t>时延内生闭环级联迭代。级联由移除介数最高的非控制中心信息层节点触发，所有场景共用同一种子。内循环进行结构性故障跨层传播直至无新故障：与所有控制中心断连的信息子网被移除，无发电机的电</w:t>
      </w:r>
      <w:r w:rsidRPr="00846412">
        <w:rPr>
          <w:rFonts w:ascii="楷体" w:eastAsia="楷体" w:hAnsi="楷体"/>
          <w:color w:val="000000" w:themeColor="text1"/>
          <w:sz w:val="28"/>
        </w:rPr>
        <w:lastRenderedPageBreak/>
        <w:t>力孤岛崩溃，跨层故障以概率p发生。</w:t>
      </w:r>
      <w:r w:rsidR="002B3AA7" w:rsidRPr="004C4416">
        <w:rPr>
          <w:rFonts w:ascii="楷体" w:eastAsia="楷体" w:hAnsi="楷体" w:hint="eastAsia"/>
          <w:color w:val="000000" w:themeColor="text1"/>
          <w:sz w:val="28"/>
        </w:rPr>
        <w:t>每一轮迭代按以下顺序执行：</w:t>
      </w:r>
    </w:p>
    <w:p w14:paraId="7FB9F52E" w14:textId="5D67F896"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步骤2-1、</w:t>
      </w:r>
      <w:r w:rsidRPr="004C4416">
        <w:rPr>
          <w:rFonts w:ascii="楷体" w:eastAsia="楷体" w:hAnsi="楷体" w:hint="eastAsia"/>
          <w:color w:val="000000" w:themeColor="text1"/>
          <w:sz w:val="28"/>
        </w:rPr>
        <w:t>进行信息层过载检查：检查信息层节点和信息层链路的当前负载是否超过其容量</w:t>
      </w:r>
      <w:r w:rsidR="00846412">
        <w:rPr>
          <w:rFonts w:ascii="楷体" w:eastAsia="楷体" w:hAnsi="楷体" w:hint="eastAsia"/>
          <w:color w:val="000000" w:themeColor="text1"/>
          <w:sz w:val="28"/>
        </w:rPr>
        <w:t>，本实施例中容量值设为：</w:t>
      </w:r>
      <w:r w:rsidR="00846412" w:rsidRPr="00BE3C1A">
        <w:rPr>
          <w:sz w:val="28"/>
          <w:szCs w:val="28"/>
        </w:rPr>
        <w:t>(1+α)B</w:t>
      </w:r>
      <w:r w:rsidR="00846412" w:rsidRPr="00BE3C1A">
        <w:rPr>
          <w:sz w:val="28"/>
          <w:szCs w:val="28"/>
          <w:vertAlign w:val="superscript"/>
        </w:rPr>
        <w:t>(0)</w:t>
      </w:r>
      <w:r w:rsidRPr="004C4416">
        <w:rPr>
          <w:rFonts w:ascii="楷体" w:eastAsia="楷体" w:hAnsi="楷体" w:hint="eastAsia"/>
          <w:color w:val="000000" w:themeColor="text1"/>
          <w:sz w:val="28"/>
        </w:rPr>
        <w:t>，超过则使相应节点或链路失效并使信息层拓扑碎片化；</w:t>
      </w:r>
    </w:p>
    <w:p w14:paraId="1BFFEC0F" w14:textId="0F0AE3D1"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步骤2-2、</w:t>
      </w:r>
      <w:r w:rsidRPr="004C4416">
        <w:rPr>
          <w:rFonts w:ascii="楷体" w:eastAsia="楷体" w:hAnsi="楷体" w:hint="eastAsia"/>
          <w:color w:val="000000" w:themeColor="text1"/>
          <w:sz w:val="28"/>
        </w:rPr>
        <w:t>进行逐机组时延评估：在当前受损拓扑上为每台存活发电机寻找到最近存活控制中心的上行路径</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m</m:t>
            </m:r>
          </m:sub>
        </m:sSub>
      </m:oMath>
      <w:r w:rsidRPr="004C4416">
        <w:rPr>
          <w:rFonts w:ascii="楷体" w:eastAsia="楷体" w:hAnsi="楷体" w:hint="eastAsia"/>
          <w:color w:val="000000" w:themeColor="text1"/>
          <w:sz w:val="28"/>
        </w:rPr>
        <w:t>和下行路径</w:t>
      </w:r>
      <m:oMath>
        <m:sSub>
          <m:sSubPr>
            <m:ctrlPr>
              <w:rPr>
                <w:rFonts w:ascii="Cambria Math" w:eastAsia="楷体" w:hAnsi="Cambria Math"/>
                <w:i/>
                <w:sz w:val="28"/>
                <w:szCs w:val="28"/>
              </w:rPr>
            </m:ctrlPr>
          </m:sSubPr>
          <m:e>
            <m:r>
              <w:rPr>
                <w:rFonts w:ascii="Cambria Math" w:eastAsia="楷体" w:hAnsi="Cambria Math"/>
                <w:sz w:val="28"/>
                <w:szCs w:val="28"/>
              </w:rPr>
              <m:t>τ</m:t>
            </m:r>
          </m:e>
          <m:sub>
            <m:r>
              <w:rPr>
                <w:rFonts w:ascii="Cambria Math" w:eastAsia="楷体" w:hAnsi="Cambria Math" w:hint="eastAsia"/>
                <w:sz w:val="28"/>
                <w:szCs w:val="28"/>
              </w:rPr>
              <m:t>e</m:t>
            </m:r>
          </m:sub>
        </m:sSub>
      </m:oMath>
      <w:r w:rsidRPr="004C4416">
        <w:rPr>
          <w:rFonts w:ascii="楷体" w:eastAsia="楷体" w:hAnsi="楷体" w:hint="eastAsia"/>
          <w:color w:val="000000" w:themeColor="text1"/>
          <w:sz w:val="28"/>
        </w:rPr>
        <w:t>，并计算上行测量通道时延和下行执行通道时延；</w:t>
      </w:r>
    </w:p>
    <w:p w14:paraId="440FC926" w14:textId="4F6AC071"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步骤2-3、</w:t>
      </w:r>
      <w:r w:rsidRPr="004C4416">
        <w:rPr>
          <w:rFonts w:ascii="楷体" w:eastAsia="楷体" w:hAnsi="楷体" w:hint="eastAsia"/>
          <w:color w:val="000000" w:themeColor="text1"/>
          <w:sz w:val="28"/>
        </w:rPr>
        <w:t>进行潮流前出力缩放：第i台发电机的实际出力等于第i台发电机的控制效能因子乘以第i台发电机的计划出力</w:t>
      </w:r>
      <w:r w:rsidR="00D72987">
        <w:rPr>
          <w:rFonts w:ascii="楷体" w:eastAsia="楷体" w:hAnsi="楷体" w:hint="eastAsia"/>
          <w:color w:val="000000" w:themeColor="text1"/>
          <w:sz w:val="28"/>
        </w:rPr>
        <w:t>：</w:t>
      </w:r>
      <w:r w:rsidR="00D72987" w:rsidRPr="00BE3C1A">
        <w:rPr>
          <w:sz w:val="28"/>
          <w:szCs w:val="28"/>
        </w:rPr>
        <w:t>P</w:t>
      </w:r>
      <w:r w:rsidR="00D72987" w:rsidRPr="00BE3C1A">
        <w:rPr>
          <w:sz w:val="28"/>
          <w:szCs w:val="28"/>
          <w:vertAlign w:val="subscript"/>
        </w:rPr>
        <w:t>i</w:t>
      </w:r>
      <w:r w:rsidR="00D72987" w:rsidRPr="00BE3C1A">
        <w:rPr>
          <w:sz w:val="28"/>
          <w:szCs w:val="28"/>
          <w:vertAlign w:val="superscript"/>
        </w:rPr>
        <w:t>act</w:t>
      </w:r>
      <w:r w:rsidR="00D72987" w:rsidRPr="00BE3C1A">
        <w:rPr>
          <w:sz w:val="28"/>
          <w:szCs w:val="28"/>
        </w:rPr>
        <w:t>=η⁺</w:t>
      </w:r>
      <w:r w:rsidR="00D72987" w:rsidRPr="00BE3C1A">
        <w:rPr>
          <w:sz w:val="28"/>
          <w:szCs w:val="28"/>
          <w:vertAlign w:val="subscript"/>
        </w:rPr>
        <w:t>i</w:t>
      </w:r>
      <w:r w:rsidR="00D72987" w:rsidRPr="00BE3C1A">
        <w:rPr>
          <w:sz w:val="28"/>
          <w:szCs w:val="28"/>
        </w:rPr>
        <w:t>·P</w:t>
      </w:r>
      <w:r w:rsidR="00D72987" w:rsidRPr="00BE3C1A">
        <w:rPr>
          <w:sz w:val="28"/>
          <w:szCs w:val="28"/>
          <w:vertAlign w:val="subscript"/>
        </w:rPr>
        <w:t>i</w:t>
      </w:r>
      <w:r w:rsidR="00D72987" w:rsidRPr="00BE3C1A">
        <w:rPr>
          <w:sz w:val="28"/>
          <w:szCs w:val="28"/>
          <w:vertAlign w:val="superscript"/>
        </w:rPr>
        <w:t>ref</w:t>
      </w:r>
      <w:r w:rsidRPr="004C4416">
        <w:rPr>
          <w:rFonts w:ascii="楷体" w:eastAsia="楷体" w:hAnsi="楷体" w:hint="eastAsia"/>
          <w:color w:val="000000" w:themeColor="text1"/>
          <w:sz w:val="28"/>
        </w:rPr>
        <w:t>；</w:t>
      </w:r>
    </w:p>
    <w:p w14:paraId="2CA49E82" w14:textId="38C94BC9" w:rsidR="002B3AA7" w:rsidRPr="004C4416"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步骤2-4、</w:t>
      </w:r>
      <w:r w:rsidRPr="004C4416">
        <w:rPr>
          <w:rFonts w:ascii="楷体" w:eastAsia="楷体" w:hAnsi="楷体" w:hint="eastAsia"/>
          <w:color w:val="000000" w:themeColor="text1"/>
          <w:sz w:val="28"/>
        </w:rPr>
        <w:t>进行直流潮流重分配：节点注入功率向量等于电纳矩阵乘以节点电压相角向量，求解后得到本轮支路潮流</w:t>
      </w:r>
      <w:r w:rsidR="00D72987" w:rsidRPr="00BE3C1A">
        <w:rPr>
          <w:sz w:val="28"/>
          <w:szCs w:val="28"/>
        </w:rPr>
        <w:t>P=BΘ</w:t>
      </w:r>
      <w:r w:rsidRPr="004C4416">
        <w:rPr>
          <w:rFonts w:ascii="楷体" w:eastAsia="楷体" w:hAnsi="楷体" w:hint="eastAsia"/>
          <w:color w:val="000000" w:themeColor="text1"/>
          <w:sz w:val="28"/>
        </w:rPr>
        <w:t>，由平衡机吸收不平衡功率；</w:t>
      </w:r>
    </w:p>
    <w:p w14:paraId="4261A3B0" w14:textId="017FB9F2" w:rsidR="002B3AA7" w:rsidRPr="00B80322" w:rsidRDefault="002B3AA7" w:rsidP="004E3C5B">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步骤2-5、</w:t>
      </w:r>
      <w:r w:rsidRPr="004C4416">
        <w:rPr>
          <w:rFonts w:ascii="楷体" w:eastAsia="楷体" w:hAnsi="楷体" w:hint="eastAsia"/>
          <w:color w:val="000000" w:themeColor="text1"/>
          <w:sz w:val="28"/>
        </w:rPr>
        <w:t>进行时延耦合低频减载：减载深度等于最大减载深度乘以一与低频减载参考时延阈值的比值中较小者的函数</w:t>
      </w:r>
      <w:r w:rsidR="00D72987">
        <w:rPr>
          <w:rFonts w:ascii="楷体" w:eastAsia="楷体" w:hAnsi="楷体" w:hint="eastAsia"/>
          <w:color w:val="000000" w:themeColor="text1"/>
          <w:sz w:val="28"/>
        </w:rPr>
        <w:t>：</w:t>
      </w:r>
      <w:r w:rsidR="00D72987" w:rsidRPr="00BE3C1A">
        <w:rPr>
          <w:sz w:val="28"/>
          <w:szCs w:val="28"/>
        </w:rPr>
        <w:t>γ(τ̄)=γ</w:t>
      </w:r>
      <w:r w:rsidR="00D72987" w:rsidRPr="00BE3C1A">
        <w:rPr>
          <w:sz w:val="28"/>
          <w:szCs w:val="28"/>
          <w:vertAlign w:val="subscript"/>
        </w:rPr>
        <w:t>max</w:t>
      </w:r>
      <w:r w:rsidR="00D72987" w:rsidRPr="00BE3C1A">
        <w:rPr>
          <w:sz w:val="28"/>
          <w:szCs w:val="28"/>
        </w:rPr>
        <w:t>·min(1,τ̄/τ</w:t>
      </w:r>
      <w:r w:rsidR="00D72987" w:rsidRPr="00BE3C1A">
        <w:rPr>
          <w:sz w:val="28"/>
          <w:szCs w:val="28"/>
          <w:vertAlign w:val="subscript"/>
        </w:rPr>
        <w:t>ref</w:t>
      </w:r>
      <w:r w:rsidR="00D72987" w:rsidRPr="00BE3C1A">
        <w:rPr>
          <w:sz w:val="28"/>
          <w:szCs w:val="28"/>
          <w:vertAlign w:val="superscript"/>
        </w:rPr>
        <w:t>UFLS</w:t>
      </w:r>
      <w:r w:rsidR="00D72987" w:rsidRPr="00BE3C1A">
        <w:rPr>
          <w:sz w:val="28"/>
          <w:szCs w:val="28"/>
        </w:rPr>
        <w:t>)</w:t>
      </w:r>
      <w:r w:rsidRPr="004C4416">
        <w:rPr>
          <w:rFonts w:ascii="楷体" w:eastAsia="楷体" w:hAnsi="楷体" w:hint="eastAsia"/>
          <w:color w:val="000000" w:themeColor="text1"/>
          <w:sz w:val="28"/>
        </w:rPr>
        <w:t>，该比</w:t>
      </w:r>
      <w:r w:rsidRPr="00B80322">
        <w:rPr>
          <w:rFonts w:ascii="楷体" w:eastAsia="楷体" w:hAnsi="楷体" w:hint="eastAsia"/>
          <w:color w:val="000000" w:themeColor="text1"/>
          <w:sz w:val="28"/>
        </w:rPr>
        <w:t>值为当前平均时延除以低频减载参考时延阈值，且当当前平均时延为零时退化为常规单级减载。</w:t>
      </w:r>
    </w:p>
    <w:p w14:paraId="675D72BA" w14:textId="77777777" w:rsidR="00D72987" w:rsidRPr="00B80322" w:rsidRDefault="00D72987" w:rsidP="00D72987">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步骤3、根据供给守恒比LSR和调度保真误差DTE对鲁棒性进行评估，并对所述容忍裕度、时延严重程度以及上行测量通道时延和下行执行通道时延各自的分量进行敏感性分析。</w:t>
      </w:r>
    </w:p>
    <w:p w14:paraId="2DF5D04A" w14:textId="2044E84D" w:rsidR="00D72987" w:rsidRPr="00B80322" w:rsidRDefault="00D72987" w:rsidP="00D72987">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具体的，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1F88733B" w14:textId="77777777" w:rsidR="00B80322" w:rsidRPr="00B80322" w:rsidRDefault="00D72987" w:rsidP="00B80322">
      <w:pPr>
        <w:spacing w:line="480" w:lineRule="exact"/>
        <w:ind w:firstLine="560"/>
        <w:rPr>
          <w:rFonts w:ascii="楷体" w:eastAsia="楷体" w:hAnsi="楷体" w:hint="eastAsia"/>
          <w:sz w:val="28"/>
          <w:szCs w:val="28"/>
        </w:rPr>
      </w:pPr>
      <w:r w:rsidRPr="00B80322">
        <w:rPr>
          <w:rFonts w:ascii="楷体" w:eastAsia="楷体" w:hAnsi="楷体" w:hint="eastAsia"/>
          <w:color w:val="000000" w:themeColor="text1"/>
          <w:sz w:val="28"/>
        </w:rPr>
        <w:t>其中，</w:t>
      </w:r>
      <w:r w:rsidRPr="00B80322">
        <w:rPr>
          <w:rFonts w:ascii="楷体" w:eastAsia="楷体" w:hAnsi="楷体"/>
          <w:sz w:val="28"/>
          <w:szCs w:val="28"/>
        </w:rPr>
        <w:t>供给守恒比LSR=φ·Σ</w:t>
      </w:r>
      <w:r w:rsidRPr="00B80322">
        <w:rPr>
          <w:rFonts w:ascii="楷体" w:eastAsia="楷体" w:hAnsi="楷体"/>
          <w:sz w:val="28"/>
          <w:szCs w:val="28"/>
          <w:vertAlign w:val="subscript"/>
        </w:rPr>
        <w:t>surv</w:t>
      </w:r>
      <w:r w:rsidRPr="00B80322">
        <w:rPr>
          <w:rFonts w:ascii="楷体" w:eastAsia="楷体" w:hAnsi="楷体"/>
          <w:sz w:val="28"/>
          <w:szCs w:val="28"/>
        </w:rPr>
        <w:t>P</w:t>
      </w:r>
      <w:r w:rsidRPr="00B80322">
        <w:rPr>
          <w:rFonts w:ascii="楷体" w:eastAsia="楷体" w:hAnsi="楷体"/>
          <w:sz w:val="28"/>
          <w:szCs w:val="28"/>
          <w:vertAlign w:val="subscript"/>
        </w:rPr>
        <w:t>b</w:t>
      </w:r>
      <w:r w:rsidRPr="00B80322">
        <w:rPr>
          <w:rFonts w:ascii="楷体" w:eastAsia="楷体" w:hAnsi="楷体"/>
          <w:sz w:val="28"/>
          <w:szCs w:val="28"/>
          <w:vertAlign w:val="superscript"/>
        </w:rPr>
        <w:t>(0)</w:t>
      </w:r>
      <w:r w:rsidRPr="00B80322">
        <w:rPr>
          <w:rFonts w:ascii="楷体" w:eastAsia="楷体" w:hAnsi="楷体"/>
          <w:sz w:val="28"/>
          <w:szCs w:val="28"/>
        </w:rPr>
        <w:t>/ΣP</w:t>
      </w:r>
      <w:r w:rsidRPr="00B80322">
        <w:rPr>
          <w:rFonts w:ascii="楷体" w:eastAsia="楷体" w:hAnsi="楷体"/>
          <w:sz w:val="28"/>
          <w:szCs w:val="28"/>
          <w:vertAlign w:val="subscript"/>
        </w:rPr>
        <w:t>b</w:t>
      </w:r>
      <w:r w:rsidRPr="00B80322">
        <w:rPr>
          <w:rFonts w:ascii="楷体" w:eastAsia="楷体" w:hAnsi="楷体"/>
          <w:sz w:val="28"/>
          <w:szCs w:val="28"/>
          <w:vertAlign w:val="superscript"/>
        </w:rPr>
        <w:t>(0)</w:t>
      </w:r>
      <w:r w:rsidRPr="00B80322">
        <w:rPr>
          <w:rFonts w:ascii="楷体" w:eastAsia="楷体" w:hAnsi="楷体"/>
          <w:sz w:val="28"/>
          <w:szCs w:val="28"/>
        </w:rPr>
        <w:t>，φ=min(1,ΣP</w:t>
      </w:r>
      <w:r w:rsidRPr="00B80322">
        <w:rPr>
          <w:rFonts w:ascii="楷体" w:eastAsia="楷体" w:hAnsi="楷体"/>
          <w:sz w:val="28"/>
          <w:szCs w:val="28"/>
          <w:vertAlign w:val="superscript"/>
        </w:rPr>
        <w:t>act</w:t>
      </w:r>
      <w:r w:rsidRPr="00B80322">
        <w:rPr>
          <w:rFonts w:ascii="楷体" w:eastAsia="楷体" w:hAnsi="楷体"/>
          <w:sz w:val="28"/>
          <w:szCs w:val="28"/>
        </w:rPr>
        <w:t>/ΣP</w:t>
      </w:r>
      <w:r w:rsidRPr="00B80322">
        <w:rPr>
          <w:rFonts w:ascii="楷体" w:eastAsia="楷体" w:hAnsi="楷体"/>
          <w:sz w:val="28"/>
          <w:szCs w:val="28"/>
          <w:vertAlign w:val="superscript"/>
        </w:rPr>
        <w:t>ref</w:t>
      </w:r>
      <w:r w:rsidRPr="00B80322">
        <w:rPr>
          <w:rFonts w:ascii="楷体" w:eastAsia="楷体" w:hAnsi="楷体"/>
          <w:sz w:val="28"/>
          <w:szCs w:val="28"/>
        </w:rPr>
        <w:t>)，衡量仍被供给的负荷比例并按发电缺额折减</w:t>
      </w:r>
      <w:r w:rsidRPr="00B80322">
        <w:rPr>
          <w:rFonts w:ascii="楷体" w:eastAsia="楷体" w:hAnsi="楷体" w:hint="eastAsia"/>
          <w:sz w:val="28"/>
          <w:szCs w:val="28"/>
        </w:rPr>
        <w:t>。</w:t>
      </w:r>
      <w:r w:rsidR="00B80322" w:rsidRPr="00B80322">
        <w:rPr>
          <w:rFonts w:ascii="楷体" w:eastAsia="楷体" w:hAnsi="楷体"/>
          <w:sz w:val="28"/>
          <w:szCs w:val="28"/>
        </w:rPr>
        <w:t>调度保真误差DTE=√(Σ</w:t>
      </w:r>
      <w:r w:rsidR="00B80322" w:rsidRPr="00B80322">
        <w:rPr>
          <w:rFonts w:ascii="楷体" w:eastAsia="楷体" w:hAnsi="楷体"/>
          <w:sz w:val="28"/>
          <w:szCs w:val="28"/>
          <w:vertAlign w:val="subscript"/>
        </w:rPr>
        <w:t xml:space="preserve">surv </w:t>
      </w:r>
      <w:r w:rsidR="00B80322" w:rsidRPr="00B80322">
        <w:rPr>
          <w:rFonts w:ascii="楷体" w:eastAsia="楷体" w:hAnsi="楷体"/>
          <w:sz w:val="28"/>
          <w:szCs w:val="28"/>
          <w:vertAlign w:val="subscript"/>
        </w:rPr>
        <w:lastRenderedPageBreak/>
        <w:t>gen</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(0)</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act</w:t>
      </w:r>
      <w:r w:rsidR="00B80322" w:rsidRPr="00B80322">
        <w:rPr>
          <w:rFonts w:ascii="Cambria Math" w:eastAsia="楷体" w:hAnsi="Cambria Math" w:cs="Cambria Math"/>
          <w:sz w:val="28"/>
          <w:szCs w:val="28"/>
        </w:rPr>
        <w:t>−</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ref</w:t>
      </w:r>
      <w:r w:rsidR="00B80322" w:rsidRPr="00B80322">
        <w:rPr>
          <w:rFonts w:ascii="楷体" w:eastAsia="楷体" w:hAnsi="楷体"/>
          <w:sz w:val="28"/>
          <w:szCs w:val="28"/>
        </w:rPr>
        <w:t>)/P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ref</w:t>
      </w:r>
      <w:r w:rsidR="00B80322" w:rsidRPr="00B80322">
        <w:rPr>
          <w:rFonts w:ascii="楷体" w:eastAsia="楷体" w:hAnsi="楷体"/>
          <w:sz w:val="28"/>
          <w:szCs w:val="28"/>
        </w:rPr>
        <w:t>)</w:t>
      </w:r>
      <w:r w:rsidR="00B80322" w:rsidRPr="00B80322">
        <w:rPr>
          <w:rFonts w:ascii="Calibri" w:eastAsia="楷体" w:hAnsi="Calibri" w:cs="Calibri"/>
          <w:sz w:val="28"/>
          <w:szCs w:val="28"/>
        </w:rPr>
        <w:t>²</w:t>
      </w:r>
      <w:r w:rsidR="00B80322" w:rsidRPr="00B80322">
        <w:rPr>
          <w:rFonts w:ascii="楷体" w:eastAsia="楷体" w:hAnsi="楷体"/>
          <w:sz w:val="28"/>
          <w:szCs w:val="28"/>
        </w:rPr>
        <w:t>/ΣP</w:t>
      </w:r>
      <w:r w:rsidR="00B80322" w:rsidRPr="00B80322">
        <w:rPr>
          <w:rFonts w:ascii="楷体" w:eastAsia="楷体" w:hAnsi="楷体"/>
          <w:sz w:val="28"/>
          <w:szCs w:val="28"/>
          <w:vertAlign w:val="subscript"/>
        </w:rPr>
        <w:t>j</w:t>
      </w:r>
      <w:r w:rsidR="00B80322" w:rsidRPr="00B80322">
        <w:rPr>
          <w:rFonts w:ascii="楷体" w:eastAsia="楷体" w:hAnsi="楷体"/>
          <w:sz w:val="28"/>
          <w:szCs w:val="28"/>
          <w:vertAlign w:val="superscript"/>
        </w:rPr>
        <w:t>(0)</w:t>
      </w:r>
      <w:r w:rsidR="00B80322" w:rsidRPr="00B80322">
        <w:rPr>
          <w:rFonts w:ascii="楷体" w:eastAsia="楷体" w:hAnsi="楷体"/>
          <w:sz w:val="28"/>
          <w:szCs w:val="28"/>
        </w:rPr>
        <w:t>)，衡量存活机组实际出力相对计划的容量加权归一化均方根误差。LSR问有多少负荷存活，DTE问存活机组执行调度的保真度，系统可能保持看似令人安心的LSR，而DTE却揭示其负荷由远离设定点的机组供给，即负荷指标看不到的隐性退化。</w:t>
      </w:r>
    </w:p>
    <w:p w14:paraId="4A4481D8" w14:textId="12035569" w:rsidR="00D72987" w:rsidRPr="004C4416" w:rsidRDefault="00B80322" w:rsidP="00D72987">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可以理解的，</w:t>
      </w:r>
      <w:r w:rsidR="00D72987" w:rsidRPr="00B80322">
        <w:rPr>
          <w:rFonts w:ascii="楷体" w:eastAsia="楷体" w:hAnsi="楷体" w:hint="eastAsia"/>
          <w:color w:val="000000" w:themeColor="text1"/>
          <w:sz w:val="28"/>
        </w:rPr>
        <w:t>敏感性分析以最严重时延场景为基线，对链路带宽、端点处理时延、中继转发时延、现场测量接口时延、现</w:t>
      </w:r>
      <w:r w:rsidR="00D72987" w:rsidRPr="004C4416">
        <w:rPr>
          <w:rFonts w:ascii="楷体" w:eastAsia="楷体" w:hAnsi="楷体" w:hint="eastAsia"/>
          <w:color w:val="000000" w:themeColor="text1"/>
          <w:sz w:val="28"/>
        </w:rPr>
        <w:t>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容忍裕度构成的平面上计算逐轮时延惩罚以确定早期干预窗口。</w:t>
      </w:r>
    </w:p>
    <w:p w14:paraId="390EA00C" w14:textId="66912200" w:rsidR="00F7383A" w:rsidRPr="00B80322" w:rsidRDefault="00B80322" w:rsidP="004E3C5B">
      <w:pPr>
        <w:adjustRightInd w:val="0"/>
        <w:snapToGrid w:val="0"/>
        <w:ind w:firstLine="560"/>
        <w:jc w:val="left"/>
        <w:rPr>
          <w:rFonts w:ascii="楷体" w:eastAsia="楷体" w:hAnsi="楷体" w:hint="eastAsia"/>
          <w:color w:val="000000" w:themeColor="text1"/>
          <w:sz w:val="28"/>
        </w:rPr>
      </w:pPr>
      <w:r w:rsidRPr="00B80322">
        <w:rPr>
          <w:rFonts w:ascii="楷体" w:eastAsia="楷体" w:hAnsi="楷体" w:hint="eastAsia"/>
          <w:color w:val="000000" w:themeColor="text1"/>
          <w:sz w:val="28"/>
        </w:rPr>
        <w:t>基于上述技术方案，本实施例提供一下仿真案例：</w:t>
      </w:r>
    </w:p>
    <w:p w14:paraId="27C1FAE8" w14:textId="3771B590" w:rsidR="00B80322" w:rsidRPr="00B80322" w:rsidRDefault="00B80322" w:rsidP="00B80322">
      <w:pPr>
        <w:spacing w:line="480" w:lineRule="exact"/>
        <w:ind w:firstLine="560"/>
        <w:rPr>
          <w:rFonts w:ascii="楷体" w:eastAsia="楷体" w:hAnsi="楷体" w:hint="eastAsia"/>
          <w:sz w:val="28"/>
          <w:szCs w:val="28"/>
        </w:rPr>
      </w:pPr>
      <w:r w:rsidRPr="00B80322">
        <w:rPr>
          <w:rFonts w:ascii="楷体" w:eastAsia="楷体" w:hAnsi="楷体"/>
          <w:sz w:val="28"/>
          <w:szCs w:val="28"/>
        </w:rPr>
        <w:t>数据集与实验设置</w:t>
      </w:r>
    </w:p>
    <w:p w14:paraId="57C355D2" w14:textId="77777777" w:rsidR="00B80322" w:rsidRPr="00B80322" w:rsidRDefault="00B80322" w:rsidP="00B80322">
      <w:pPr>
        <w:spacing w:line="480" w:lineRule="exact"/>
        <w:ind w:firstLine="560"/>
        <w:rPr>
          <w:rFonts w:ascii="楷体" w:eastAsia="楷体" w:hAnsi="楷体" w:hint="eastAsia"/>
          <w:sz w:val="28"/>
          <w:szCs w:val="28"/>
        </w:rPr>
      </w:pPr>
      <w:r w:rsidRPr="00B80322">
        <w:rPr>
          <w:rFonts w:ascii="楷体" w:eastAsia="楷体" w:hAnsi="楷体"/>
          <w:sz w:val="28"/>
          <w:szCs w:val="28"/>
        </w:rPr>
        <w:t>物理层采用IEEE 39节点系统，信息层采用|V</w:t>
      </w:r>
      <w:r w:rsidRPr="00B80322">
        <w:rPr>
          <w:rFonts w:ascii="楷体" w:eastAsia="楷体" w:hAnsi="楷体"/>
          <w:sz w:val="28"/>
          <w:szCs w:val="28"/>
          <w:vertAlign w:val="subscript"/>
        </w:rPr>
        <w:t>C</w:t>
      </w:r>
      <w:r w:rsidRPr="00B80322">
        <w:rPr>
          <w:rFonts w:ascii="楷体" w:eastAsia="楷体" w:hAnsi="楷体"/>
          <w:sz w:val="28"/>
          <w:szCs w:val="28"/>
        </w:rPr>
        <w:t>|=47、含8个控制中心的BA无标度网络。每次运行固定α与一个场景，重新生成BA网络并与IEEE 39节点耦合，施加种子扰动后运行闭环级联至终止。容忍裕度α在{0.0,0.1,…,1.0}上扫描（共11个水平），时延严重程度取五个场景，分别为无时延(0)、轻度、基线(1.0)、中度、重度，各场景将全部时延参数按同一因子缩放，无时延场景令所有时延项为零、恢复常规无时延级联作为参考。每个（α，场景）组合在多次独立实现上取平均，同一实现内跨场景复用同一随机种子，使场景差异仅反映时延而非采样噪声，跨层传播概率p取0.3。</w:t>
      </w:r>
    </w:p>
    <w:p w14:paraId="7BC03453" w14:textId="204F2AF5" w:rsidR="00B80322" w:rsidRPr="00B80322" w:rsidRDefault="00B80322" w:rsidP="00B80322">
      <w:pPr>
        <w:spacing w:line="480" w:lineRule="exact"/>
        <w:ind w:firstLine="560"/>
        <w:rPr>
          <w:rFonts w:ascii="楷体" w:eastAsia="楷体" w:hAnsi="楷体" w:hint="eastAsia"/>
          <w:sz w:val="28"/>
          <w:szCs w:val="28"/>
        </w:rPr>
      </w:pPr>
      <w:r w:rsidRPr="00B80322">
        <w:rPr>
          <w:rFonts w:ascii="楷体" w:eastAsia="楷体" w:hAnsi="楷体"/>
          <w:sz w:val="28"/>
          <w:szCs w:val="28"/>
        </w:rPr>
        <w:t>实验结果</w:t>
      </w:r>
    </w:p>
    <w:p w14:paraId="17A44898" w14:textId="77777777" w:rsidR="00B80322" w:rsidRPr="00B80322" w:rsidRDefault="00B80322" w:rsidP="00B80322">
      <w:pPr>
        <w:spacing w:line="480" w:lineRule="exact"/>
        <w:ind w:firstLine="560"/>
        <w:rPr>
          <w:rFonts w:ascii="楷体" w:eastAsia="楷体" w:hAnsi="楷体" w:hint="eastAsia"/>
          <w:sz w:val="28"/>
          <w:szCs w:val="28"/>
        </w:rPr>
      </w:pPr>
      <w:r w:rsidRPr="00B80322">
        <w:rPr>
          <w:rFonts w:ascii="楷体" w:eastAsia="楷体" w:hAnsi="楷体"/>
          <w:sz w:val="28"/>
          <w:szCs w:val="28"/>
        </w:rPr>
        <w:t>结果表明：（1）如图6所示，供给守恒比LSR随时延严重程度单调下降，无时延场景最高、重度时延场景最低，图6中的柱状图给出各时延场景相对无时延场景的时延惩罚ΔLSR，可见惩罚差距并非均匀分布：在紧裕度（α较小）处各场景一起崩溃，在宽裕度（α接近1）处物理裕量掩盖时延影响，而时延惩罚在中高裕度带达到最大——这恰是无时延分析会认证为安全的区间，说明闭环建模将危险区定位到了运营者最有安全感的裕度区间，证明了本发明消除无时延模型系统性乐观偏差的有效性；（2）如图7所示，调度保真误差DTE在所有容忍裕度α上按时延严重程度清晰分层且各曲线无交叉，即使在LSR看似充足的宽裕度处，调度保真度也随时延平滑单调退化，暴露了单一负荷指标无法捕捉的隐性功能退化，证明了本发明双指标评估体系的必要性与有效性；（3）在多次独立实现上，无时延场景给出窄而集中的LSR分布，重度时延场景给出带明显近全崩溃尾部的宽分布，表明时延把近似确定的鲁棒性转化为重尾的、依实现而定的风险；（4）如图8所示，逐轮时延惩罚ΔLSR在（级联轮次，容忍裕度α）平面上呈现清晰的时空结构：第1轮基本时延中性（图中深色区域），第2轮急剧点燃，第3至5轮放大后饱和（图中亮色区域），据此可识别出狭窄的早期干预窗口，证明了本发明能够为级联过程中的主动控制提供时序依据；（5）如图9所示，从重度时延场景出发施加单参数缓解动作后，现场执行接口提速与现场测量接口提速两个现场侧接口动作的恢复度分别达到56.2%和50.5%，占据主导地位，而链路冗余备份与端点处理升级的恢复度仅为2.2%和0.6%，说明升级传感与执行接口比拓宽带宽在单位投入下获得的韧性恢复更多，证明了本发明双通道时延分解在工程归因与优化排序上的有效性。上述图6至图9的仿真结果共同验证了本发明所述方法能够准确刻画时延内生闭环致害机理，并给出可归因、可操作的鲁棒性评估结论，而其中所依据的三因子控制效能函数的形态如图5(a)至图5(c)所示：图5(a)表明报文丢失因子随路径跳数增加而单调下降，图5(b)表明控制饱和因子在死区阈值以内保持为1、超过后随时延指数衰减，图5(c)表明稳定性崩溃因子对大机组和小机组呈现差异化的时延耐受极限。</w:t>
      </w:r>
      <w:r w:rsidRPr="00B80322">
        <w:rPr>
          <w:rFonts w:ascii="楷体" w:eastAsia="楷体" w:hAnsi="楷体"/>
          <w:sz w:val="28"/>
          <w:szCs w:val="28"/>
        </w:rPr>
        <w:lastRenderedPageBreak/>
        <w:t/>
      </w:r>
    </w:p>
    <w:p w14:paraId="001A0264" w14:textId="3A526FD3" w:rsidR="00C15EA3" w:rsidRPr="00805963" w:rsidRDefault="00A02590" w:rsidP="004E3C5B">
      <w:pPr>
        <w:adjustRightInd w:val="0"/>
        <w:snapToGrid w:val="0"/>
        <w:ind w:firstLine="560"/>
        <w:rPr>
          <w:b/>
          <w:color w:val="000000" w:themeColor="text1"/>
        </w:rPr>
      </w:pPr>
      <w:r w:rsidRPr="00805963">
        <w:rPr>
          <w:rFonts w:ascii="楷体" w:eastAsia="楷体" w:hAnsi="楷体" w:cs="宋体" w:hint="eastAsia"/>
          <w:color w:val="000000" w:themeColor="text1"/>
          <w:sz w:val="28"/>
          <w:szCs w:val="28"/>
        </w:rPr>
        <w:t>以上显示和描述了本发明的基本原理、主要特征和本发明的优点。本行业的技术人员应该了解，本发明不受上述实施例的限制，上述实施例和说明书中描述的仅为本发明的优选例，并不用来限制本发明，在不脱离本发明精神和范围的前提下，本发明还会有各种变化和改进，这些变化和改进都落入要求保护的本发明范围内。本发明要求保护范围由所附的权利要求书及其等效物界定。</w:t>
      </w:r>
    </w:p>
    <w:sectPr w:rsidR="00C15EA3" w:rsidRPr="00805963"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C6421" w14:textId="77777777" w:rsidR="00F10E78" w:rsidRDefault="00F10E78">
      <w:pPr>
        <w:spacing w:line="240" w:lineRule="auto"/>
        <w:ind w:firstLine="480"/>
      </w:pPr>
      <w:r>
        <w:separator/>
      </w:r>
    </w:p>
  </w:endnote>
  <w:endnote w:type="continuationSeparator" w:id="0">
    <w:p w14:paraId="18FAA8E5" w14:textId="77777777" w:rsidR="00F10E78" w:rsidRDefault="00F10E7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5A4F" w14:textId="77777777" w:rsidR="000B1C54" w:rsidRDefault="000B1C54">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DA29"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9E6F" w14:textId="77777777" w:rsidR="000B1C54" w:rsidRDefault="000B1C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67BBE" w14:textId="77777777" w:rsidR="00F10E78" w:rsidRDefault="00F10E78">
      <w:pPr>
        <w:ind w:firstLine="480"/>
      </w:pPr>
      <w:r>
        <w:separator/>
      </w:r>
    </w:p>
  </w:footnote>
  <w:footnote w:type="continuationSeparator" w:id="0">
    <w:p w14:paraId="6B30BCDD" w14:textId="77777777" w:rsidR="00F10E78" w:rsidRDefault="00F10E7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BC80" w14:textId="77777777" w:rsidR="000B1C54" w:rsidRDefault="000B1C5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6011" w14:textId="2BCDE6E3" w:rsidR="00F66D7B" w:rsidRDefault="00F66D7B">
    <w:pPr>
      <w:pBdr>
        <w:bottom w:val="single" w:sz="4" w:space="1" w:color="auto"/>
      </w:pBdr>
      <w:ind w:firstLineChars="0" w:firstLine="0"/>
      <w:jc w:val="center"/>
      <w:outlineLvl w:val="0"/>
      <w:rPr>
        <w:szCs w:val="28"/>
      </w:rPr>
    </w:pPr>
    <w:r>
      <w:rPr>
        <w:rFonts w:hint="eastAsia"/>
        <w:b/>
        <w:bCs/>
        <w:sz w:val="32"/>
        <w:szCs w:val="28"/>
      </w:rPr>
      <w:t>说</w:t>
    </w:r>
    <w:r>
      <w:rPr>
        <w:rFonts w:hint="eastAsia"/>
        <w:b/>
        <w:bCs/>
        <w:sz w:val="32"/>
        <w:szCs w:val="28"/>
      </w:rPr>
      <w:t xml:space="preserve">    </w:t>
    </w:r>
    <w:r>
      <w:rPr>
        <w:rFonts w:hint="eastAsia"/>
        <w:b/>
        <w:bCs/>
        <w:sz w:val="32"/>
        <w:szCs w:val="28"/>
      </w:rPr>
      <w:t>明</w:t>
    </w:r>
    <w:r>
      <w:rPr>
        <w:rFonts w:hint="eastAsia"/>
        <w:b/>
        <w:bCs/>
        <w:sz w:val="32"/>
        <w:szCs w:val="28"/>
      </w:rPr>
      <w:t xml:space="preserve">    </w:t>
    </w:r>
    <w:r>
      <w:rPr>
        <w:rFonts w:hint="eastAsia"/>
        <w:b/>
        <w:bCs/>
        <w:sz w:val="32"/>
        <w:szCs w:val="28"/>
      </w:rPr>
      <w:t>书</w:t>
    </w:r>
    <w:r>
      <w:rPr>
        <w:rFonts w:hint="eastAsia"/>
        <w:b/>
        <w:bCs/>
        <w:sz w:val="32"/>
        <w:szCs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9746" w14:textId="77777777" w:rsidR="000B1C54" w:rsidRDefault="000B1C54">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359621802">
    <w:abstractNumId w:val="4"/>
  </w:num>
  <w:num w:numId="2" w16cid:durableId="921526242">
    <w:abstractNumId w:val="3"/>
  </w:num>
  <w:num w:numId="3" w16cid:durableId="716470330">
    <w:abstractNumId w:val="6"/>
  </w:num>
  <w:num w:numId="4" w16cid:durableId="394476653">
    <w:abstractNumId w:val="2"/>
  </w:num>
  <w:num w:numId="5" w16cid:durableId="1135414066">
    <w:abstractNumId w:val="1"/>
  </w:num>
  <w:num w:numId="6" w16cid:durableId="1330601005">
    <w:abstractNumId w:val="0"/>
  </w:num>
  <w:num w:numId="7" w16cid:durableId="78396595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06162"/>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1B5"/>
    <w:rsid w:val="000936FB"/>
    <w:rsid w:val="00097A39"/>
    <w:rsid w:val="00097DE7"/>
    <w:rsid w:val="000A285A"/>
    <w:rsid w:val="000A3F16"/>
    <w:rsid w:val="000A4160"/>
    <w:rsid w:val="000A4874"/>
    <w:rsid w:val="000A4E4F"/>
    <w:rsid w:val="000A7374"/>
    <w:rsid w:val="000B03D6"/>
    <w:rsid w:val="000B1C54"/>
    <w:rsid w:val="000B21CD"/>
    <w:rsid w:val="000B2CC4"/>
    <w:rsid w:val="000C279E"/>
    <w:rsid w:val="000C3327"/>
    <w:rsid w:val="000C44DB"/>
    <w:rsid w:val="000D1074"/>
    <w:rsid w:val="000D55C3"/>
    <w:rsid w:val="000D5E04"/>
    <w:rsid w:val="000D6380"/>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6C48"/>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A7"/>
    <w:rsid w:val="002B3FDD"/>
    <w:rsid w:val="002B48EE"/>
    <w:rsid w:val="002B5E20"/>
    <w:rsid w:val="002C0B68"/>
    <w:rsid w:val="002C1939"/>
    <w:rsid w:val="002C2D7F"/>
    <w:rsid w:val="002C3453"/>
    <w:rsid w:val="002C3F8F"/>
    <w:rsid w:val="002C762A"/>
    <w:rsid w:val="002D0350"/>
    <w:rsid w:val="002D17BF"/>
    <w:rsid w:val="002D26F1"/>
    <w:rsid w:val="002D2E0C"/>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0DC8"/>
    <w:rsid w:val="00365315"/>
    <w:rsid w:val="00365D5B"/>
    <w:rsid w:val="00366A49"/>
    <w:rsid w:val="00367CC2"/>
    <w:rsid w:val="003700A8"/>
    <w:rsid w:val="00370601"/>
    <w:rsid w:val="00371074"/>
    <w:rsid w:val="003726EF"/>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4C69"/>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7D3"/>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3C5B"/>
    <w:rsid w:val="004E46A0"/>
    <w:rsid w:val="004E74FF"/>
    <w:rsid w:val="004F019D"/>
    <w:rsid w:val="004F25FD"/>
    <w:rsid w:val="004F33FE"/>
    <w:rsid w:val="00504A1F"/>
    <w:rsid w:val="00504F8F"/>
    <w:rsid w:val="00505A3B"/>
    <w:rsid w:val="005060E9"/>
    <w:rsid w:val="00512517"/>
    <w:rsid w:val="0051339E"/>
    <w:rsid w:val="005135A4"/>
    <w:rsid w:val="005179CF"/>
    <w:rsid w:val="00521DF9"/>
    <w:rsid w:val="00524204"/>
    <w:rsid w:val="005265C1"/>
    <w:rsid w:val="0053036A"/>
    <w:rsid w:val="00531BB4"/>
    <w:rsid w:val="00533786"/>
    <w:rsid w:val="005341B5"/>
    <w:rsid w:val="0053457F"/>
    <w:rsid w:val="00534777"/>
    <w:rsid w:val="00537DD5"/>
    <w:rsid w:val="00537FBC"/>
    <w:rsid w:val="00540B5D"/>
    <w:rsid w:val="0054101B"/>
    <w:rsid w:val="005411B7"/>
    <w:rsid w:val="0054157F"/>
    <w:rsid w:val="00541CA6"/>
    <w:rsid w:val="0054255D"/>
    <w:rsid w:val="005441B8"/>
    <w:rsid w:val="005444FB"/>
    <w:rsid w:val="005460DF"/>
    <w:rsid w:val="00546B96"/>
    <w:rsid w:val="0055214C"/>
    <w:rsid w:val="00553A0B"/>
    <w:rsid w:val="00560BC5"/>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510C"/>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603"/>
    <w:rsid w:val="00710AA9"/>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46412"/>
    <w:rsid w:val="00850867"/>
    <w:rsid w:val="0085291F"/>
    <w:rsid w:val="00853FAA"/>
    <w:rsid w:val="008546BE"/>
    <w:rsid w:val="0085655C"/>
    <w:rsid w:val="00856BBF"/>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8185C"/>
    <w:rsid w:val="00986055"/>
    <w:rsid w:val="00986369"/>
    <w:rsid w:val="0099326E"/>
    <w:rsid w:val="009940CE"/>
    <w:rsid w:val="00996905"/>
    <w:rsid w:val="00996BFF"/>
    <w:rsid w:val="00997155"/>
    <w:rsid w:val="009A734D"/>
    <w:rsid w:val="009B1541"/>
    <w:rsid w:val="009B3CEE"/>
    <w:rsid w:val="009B4E46"/>
    <w:rsid w:val="009B5C82"/>
    <w:rsid w:val="009B6434"/>
    <w:rsid w:val="009C1212"/>
    <w:rsid w:val="009C2453"/>
    <w:rsid w:val="009C5CBC"/>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1CD0"/>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80322"/>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714"/>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8EE"/>
    <w:rsid w:val="00C33990"/>
    <w:rsid w:val="00C357F0"/>
    <w:rsid w:val="00C35D4B"/>
    <w:rsid w:val="00C35DB7"/>
    <w:rsid w:val="00C36F2D"/>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2C07"/>
    <w:rsid w:val="00D45992"/>
    <w:rsid w:val="00D4726B"/>
    <w:rsid w:val="00D47AAF"/>
    <w:rsid w:val="00D557C9"/>
    <w:rsid w:val="00D561E4"/>
    <w:rsid w:val="00D565C6"/>
    <w:rsid w:val="00D63AC5"/>
    <w:rsid w:val="00D64F72"/>
    <w:rsid w:val="00D652F9"/>
    <w:rsid w:val="00D65BF5"/>
    <w:rsid w:val="00D65DA9"/>
    <w:rsid w:val="00D70448"/>
    <w:rsid w:val="00D72987"/>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47A35"/>
    <w:rsid w:val="00E62169"/>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0E78"/>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50CF"/>
    <w:rsid w:val="00F56133"/>
    <w:rsid w:val="00F56B11"/>
    <w:rsid w:val="00F5779D"/>
    <w:rsid w:val="00F62014"/>
    <w:rsid w:val="00F65479"/>
    <w:rsid w:val="00F65D80"/>
    <w:rsid w:val="00F6601D"/>
    <w:rsid w:val="00F66D7B"/>
    <w:rsid w:val="00F70EDD"/>
    <w:rsid w:val="00F71435"/>
    <w:rsid w:val="00F7383A"/>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4463C"/>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694</TotalTime>
  <Pages>16</Pages>
  <Words>1859</Words>
  <Characters>10602</Characters>
  <Application>Microsoft Office Word</Application>
  <DocSecurity>0</DocSecurity>
  <Lines>88</Lines>
  <Paragraphs>24</Paragraphs>
  <ScaleCrop>false</ScaleCrop>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210</cp:revision>
  <dcterms:created xsi:type="dcterms:W3CDTF">2023-11-14T09:22:00Z</dcterms:created>
  <dcterms:modified xsi:type="dcterms:W3CDTF">2026-07-21T09:28:00Z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