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ТЕХНИЧЕСКОЕ ПРЕДЛОЖЕНИЕ</w:t>
      </w:r>
    </w:p>
    <w:p>
      <w:pPr>
        <w:pStyle w:val="Heading2"/>
        <w:jc w:val="left"/>
      </w:pPr>
      <w:r>
        <w:t>На участие в закупке: Техническая поддержка серверной инфраструктуры</w:t>
      </w:r>
    </w:p>
    <w:p/>
    <w:p>
      <w:pPr>
        <w:pStyle w:val="Heading2"/>
        <w:jc w:val="left"/>
      </w:pPr>
      <w:r>
        <w:t>1. Описание предлагаемого товара/услуги/работы</w:t>
      </w:r>
    </w:p>
    <w:p>
      <w:r>
        <w:rPr>
          <w:b w:val="0"/>
        </w:rPr>
        <w:t>Организация ООО "ИТ-Системы и Решения" предлагает к поставке/выполнению: Техническая поддержка серверной инфраструктуры. Предложение полностью соответствует техническому заданию заказчика.</w:t>
      </w:r>
    </w:p>
    <w:p/>
    <w:p>
      <w:pPr>
        <w:pStyle w:val="Heading2"/>
        <w:jc w:val="left"/>
      </w:pPr>
      <w:r>
        <w:t>2. Соответствие техническим характеристикам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 ТЗ</w:t>
            </w:r>
          </w:p>
        </w:tc>
        <w:tc>
          <w:tcPr>
            <w:tcW w:type="dxa" w:w="2880"/>
          </w:tcPr>
          <w:p>
            <w:r>
              <w:t>Предложение участника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</w:tr>
      <w:tr>
        <w:tc>
          <w:tcPr>
            <w:tcW w:type="dxa" w:w="2880"/>
          </w:tcPr>
          <w:p>
            <w:r>
              <w:t>Участник должен иметь опыт исполнения аналогичных контрактов на оказание IT-услуг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  <w:tr>
        <w:tc>
          <w:tcPr>
            <w:tcW w:type="dxa" w:w="2880"/>
          </w:tcPr>
          <w:p>
            <w:r>
              <w:t>Необходимо наличие лицензии ФСТЭК России на деятельность по технической защите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  <w:tr>
        <w:tc>
          <w:tcPr>
            <w:tcW w:type="dxa" w:w="2880"/>
          </w:tcPr>
          <w:p>
            <w:r>
              <w:t>Требуется подтверждение наличия сертификатов соответствия ISO 27001 или ГОСТ Р ИСО/МЭК 27001.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</w:tbl>
    <w:p/>
    <w:p>
      <w:pPr>
        <w:pStyle w:val="Heading2"/>
        <w:jc w:val="left"/>
      </w:pPr>
      <w:r>
        <w:t>3. Опыт исполнения аналогичных контрактов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Заказчик</w:t>
            </w:r>
          </w:p>
        </w:tc>
        <w:tc>
          <w:tcPr>
            <w:tcW w:type="dxa" w:w="2160"/>
          </w:tcPr>
          <w:p>
            <w:r>
              <w:t>Предмет контракта</w:t>
            </w:r>
          </w:p>
        </w:tc>
        <w:tc>
          <w:tcPr>
            <w:tcW w:type="dxa" w:w="2160"/>
          </w:tcPr>
          <w:p>
            <w:r>
              <w:t>Сумма, руб.</w:t>
            </w:r>
          </w:p>
        </w:tc>
        <w:tc>
          <w:tcPr>
            <w:tcW w:type="dxa" w:w="2160"/>
          </w:tcPr>
          <w:p>
            <w:r>
              <w:t>Год</w:t>
            </w:r>
          </w:p>
        </w:tc>
      </w:tr>
      <w:tr>
        <w:tc>
          <w:tcPr>
            <w:tcW w:type="dxa" w:w="2160"/>
          </w:tcPr>
          <w:p>
            <w:r>
              <w:t>Минцифры России</w:t>
            </w:r>
          </w:p>
        </w:tc>
        <w:tc>
          <w:tcPr>
            <w:tcW w:type="dxa" w:w="2160"/>
          </w:tcPr>
          <w:p>
            <w:r>
              <w:t>Техническая поддержка серверной инфраструктуры</w:t>
            </w:r>
          </w:p>
        </w:tc>
        <w:tc>
          <w:tcPr>
            <w:tcW w:type="dxa" w:w="2160"/>
          </w:tcPr>
          <w:p>
            <w:r>
              <w:t>3500000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</w:tr>
      <w:tr>
        <w:tc>
          <w:tcPr>
            <w:tcW w:type="dxa" w:w="2160"/>
          </w:tcPr>
          <w:p>
            <w:r>
              <w:t>ФНС России</w:t>
            </w:r>
          </w:p>
        </w:tc>
        <w:tc>
          <w:tcPr>
            <w:tcW w:type="dxa" w:w="2160"/>
          </w:tcPr>
          <w:p>
            <w:r>
              <w:t>IT-услуги администрирование Linux серверов</w:t>
            </w:r>
          </w:p>
        </w:tc>
        <w:tc>
          <w:tcPr>
            <w:tcW w:type="dxa" w:w="2160"/>
          </w:tcPr>
          <w:p>
            <w:r>
              <w:t>2800000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</w:tr>
      <w:tr>
        <w:tc>
          <w:tcPr>
            <w:tcW w:type="dxa" w:w="2160"/>
          </w:tcPr>
          <w:p>
            <w:r>
              <w:t>Росстат</w:t>
            </w:r>
          </w:p>
        </w:tc>
        <w:tc>
          <w:tcPr>
            <w:tcW w:type="dxa" w:w="2160"/>
          </w:tcPr>
          <w:p>
            <w:r>
              <w:t>Обслуживание вычислительного оборудования</w:t>
            </w:r>
          </w:p>
        </w:tc>
        <w:tc>
          <w:tcPr>
            <w:tcW w:type="dxa" w:w="2160"/>
          </w:tcPr>
          <w:p>
            <w:r>
              <w:t>1900000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</w:tr>
      <w:tr>
        <w:tc>
          <w:tcPr>
            <w:tcW w:type="dxa" w:w="2160"/>
          </w:tcPr>
          <w:p>
            <w:r>
              <w:t>МВД России</w:t>
            </w:r>
          </w:p>
        </w:tc>
        <w:tc>
          <w:tcPr>
            <w:tcW w:type="dxa" w:w="2160"/>
          </w:tcPr>
          <w:p>
            <w:r>
              <w:t>Разработка программного обеспечения</w:t>
            </w:r>
          </w:p>
        </w:tc>
        <w:tc>
          <w:tcPr>
            <w:tcW w:type="dxa" w:w="2160"/>
          </w:tcPr>
          <w:p>
            <w:r>
              <w:t>4200000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</w:tr>
      <w:tr>
        <w:tc>
          <w:tcPr>
            <w:tcW w:type="dxa" w:w="2160"/>
          </w:tcPr>
          <w:p>
            <w:r>
              <w:t>Минздрав России</w:t>
            </w:r>
          </w:p>
        </w:tc>
        <w:tc>
          <w:tcPr>
            <w:tcW w:type="dxa" w:w="2160"/>
          </w:tcPr>
          <w:p>
            <w:r>
              <w:t>Техническое обслуживание медицинского оборудования</w:t>
            </w:r>
          </w:p>
        </w:tc>
        <w:tc>
          <w:tcPr>
            <w:tcW w:type="dxa" w:w="2160"/>
          </w:tcPr>
          <w:p>
            <w:r>
              <w:t>2100000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</w:tr>
      <w:tr>
        <w:tc>
          <w:tcPr>
            <w:tcW w:type="dxa" w:w="2160"/>
          </w:tcPr>
          <w:p>
            <w:r>
              <w:t>ГБУЗ ГКБ №3</w:t>
            </w:r>
          </w:p>
        </w:tc>
        <w:tc>
          <w:tcPr>
            <w:tcW w:type="dxa" w:w="2160"/>
          </w:tcPr>
          <w:p>
            <w:r>
              <w:t>Поставка и настройка компьютерного оборудования</w:t>
            </w:r>
          </w:p>
        </w:tc>
        <w:tc>
          <w:tcPr>
            <w:tcW w:type="dxa" w:w="2160"/>
          </w:tcPr>
          <w:p>
            <w:r>
              <w:t>850000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</w:tr>
      <w:tr>
        <w:tc>
          <w:tcPr>
            <w:tcW w:type="dxa" w:w="2160"/>
          </w:tcPr>
          <w:p>
            <w:r>
              <w:t>Пенсионный фонд</w:t>
            </w:r>
          </w:p>
        </w:tc>
        <w:tc>
          <w:tcPr>
            <w:tcW w:type="dxa" w:w="2160"/>
          </w:tcPr>
          <w:p>
            <w:r>
              <w:t>IT-услуги техническая поддержка</w:t>
            </w:r>
          </w:p>
        </w:tc>
        <w:tc>
          <w:tcPr>
            <w:tcW w:type="dxa" w:w="2160"/>
          </w:tcPr>
          <w:p>
            <w:r>
              <w:t>3100000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</w:tr>
      <w:tr>
        <w:tc>
          <w:tcPr>
            <w:tcW w:type="dxa" w:w="2160"/>
          </w:tcPr>
          <w:p>
            <w:r>
              <w:t>ФСС России</w:t>
            </w:r>
          </w:p>
        </w:tc>
        <w:tc>
          <w:tcPr>
            <w:tcW w:type="dxa" w:w="2160"/>
          </w:tcPr>
          <w:p>
            <w:r>
              <w:t>Обслуживание сетевого оборудования</w:t>
            </w:r>
          </w:p>
        </w:tc>
        <w:tc>
          <w:tcPr>
            <w:tcW w:type="dxa" w:w="2160"/>
          </w:tcPr>
          <w:p>
            <w:r>
              <w:t>1500000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</w:tr>
    </w:tbl>
    <w:p/>
    <w:p>
      <w:r>
        <w:rPr>
          <w:b w:val="0"/>
        </w:rPr>
        <w:t>Уполномоченное лицо: Иванов Иван Иванович (Генеральный директор)</w:t>
      </w:r>
    </w:p>
    <w:p>
      <w:r>
        <w:rPr>
          <w:b w:val="0"/>
        </w:rPr>
        <w:t>Дата: 09.05.2026</w:t>
      </w:r>
    </w:p>
    <w:p>
      <w:r>
        <w:rPr>
          <w:b w:val="0"/>
        </w:rPr>
        <w:t>Подпись: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