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ПРЕДЛОЖЕНИЕ</w:t>
      </w:r>
    </w:p>
    <w:p>
      <w:pPr>
        <w:pStyle w:val="Heading2"/>
        <w:jc w:val="left"/>
      </w:pPr>
      <w:r>
        <w:t>На участие в закупке: Строительные работы по реконструкции административного здания</w:t>
      </w:r>
    </w:p>
    <w:p/>
    <w:p>
      <w:pPr>
        <w:pStyle w:val="Heading2"/>
        <w:jc w:val="left"/>
      </w:pPr>
      <w:r>
        <w:t>1. Описание предлагаемого товара/услуги/работы</w:t>
      </w:r>
    </w:p>
    <w:p>
      <w:r>
        <w:rPr>
          <w:b w:val="0"/>
        </w:rPr>
        <w:t>Организация ООО "ИТ-Системы и Решения" предлагает к поставке/выполнению: Строительные работы по реконструкции административного здания. Предложение полностью соответствует техническому заданию заказчика.</w:t>
      </w:r>
    </w:p>
    <w:p/>
    <w:p>
      <w:pPr>
        <w:pStyle w:val="Heading2"/>
        <w:jc w:val="left"/>
      </w:pPr>
      <w:r>
        <w:t>2. Соответствие техническим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ТЗ</w:t>
            </w:r>
          </w:p>
        </w:tc>
        <w:tc>
          <w:tcPr>
            <w:tcW w:type="dxa" w:w="2880"/>
          </w:tcPr>
          <w:p>
            <w:r>
              <w:t>Предложение участника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</w:tr>
      <w:tr>
        <w:tc>
          <w:tcPr>
            <w:tcW w:type="dxa" w:w="2880"/>
          </w:tcPr>
          <w:p>
            <w:r>
              <w:t>Опыт исполнения аналогичных строительных контрактов — не менее 5 лет.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Необходимо наличие строительной лицензии и свидетельства СРО.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Участник должен иметь годовую выручку не менее 10 000 000 рублей.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Среднесписочная численность работников — не менее 50 человек.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Штраф за нарушение сроков: 1/300 ключевой ставки ЦБ РФ в день.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</w:tbl>
    <w:p/>
    <w:p>
      <w:pPr>
        <w:pStyle w:val="Heading2"/>
        <w:jc w:val="left"/>
      </w:pPr>
      <w:r>
        <w:t>3. Опыт исполнения аналогичных 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Заказчик</w:t>
            </w:r>
          </w:p>
        </w:tc>
        <w:tc>
          <w:tcPr>
            <w:tcW w:type="dxa" w:w="2160"/>
          </w:tcPr>
          <w:p>
            <w:r>
              <w:t>Предмет контракта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</w:tr>
      <w:tr>
        <w:tc>
          <w:tcPr>
            <w:tcW w:type="dxa" w:w="2160"/>
          </w:tcPr>
          <w:p>
            <w:r>
              <w:t>Минцифры России</w:t>
            </w:r>
          </w:p>
        </w:tc>
        <w:tc>
          <w:tcPr>
            <w:tcW w:type="dxa" w:w="2160"/>
          </w:tcPr>
          <w:p>
            <w:r>
              <w:t>Техническая поддержка серверной инфраструктуры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ФНС России</w:t>
            </w:r>
          </w:p>
        </w:tc>
        <w:tc>
          <w:tcPr>
            <w:tcW w:type="dxa" w:w="2160"/>
          </w:tcPr>
          <w:p>
            <w:r>
              <w:t>IT-услуги администрирование Linux серверов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Росстат</w:t>
            </w:r>
          </w:p>
        </w:tc>
        <w:tc>
          <w:tcPr>
            <w:tcW w:type="dxa" w:w="2160"/>
          </w:tcPr>
          <w:p>
            <w:r>
              <w:t>Обслуживание вычислительного оборудования</w:t>
            </w:r>
          </w:p>
        </w:tc>
        <w:tc>
          <w:tcPr>
            <w:tcW w:type="dxa" w:w="2160"/>
          </w:tcPr>
          <w:p>
            <w:r>
              <w:t>1900000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МВД России</w:t>
            </w:r>
          </w:p>
        </w:tc>
        <w:tc>
          <w:tcPr>
            <w:tcW w:type="dxa" w:w="2160"/>
          </w:tcPr>
          <w:p>
            <w:r>
              <w:t>Разработка программного обеспечения</w:t>
            </w:r>
          </w:p>
        </w:tc>
        <w:tc>
          <w:tcPr>
            <w:tcW w:type="dxa" w:w="2160"/>
          </w:tcPr>
          <w:p>
            <w:r>
              <w:t>4200000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Минздрав России</w:t>
            </w:r>
          </w:p>
        </w:tc>
        <w:tc>
          <w:tcPr>
            <w:tcW w:type="dxa" w:w="2160"/>
          </w:tcPr>
          <w:p>
            <w:r>
              <w:t>Техническое обслуживание медицинского оборудования</w:t>
            </w:r>
          </w:p>
        </w:tc>
        <w:tc>
          <w:tcPr>
            <w:tcW w:type="dxa" w:w="2160"/>
          </w:tcPr>
          <w:p>
            <w:r>
              <w:t>2100000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ГБУЗ ГКБ №3</w:t>
            </w:r>
          </w:p>
        </w:tc>
        <w:tc>
          <w:tcPr>
            <w:tcW w:type="dxa" w:w="2160"/>
          </w:tcPr>
          <w:p>
            <w:r>
              <w:t>Поставка и настройка компьютерного оборудования</w:t>
            </w:r>
          </w:p>
        </w:tc>
        <w:tc>
          <w:tcPr>
            <w:tcW w:type="dxa" w:w="2160"/>
          </w:tcPr>
          <w:p>
            <w:r>
              <w:t>850000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Пенсионный фонд</w:t>
            </w:r>
          </w:p>
        </w:tc>
        <w:tc>
          <w:tcPr>
            <w:tcW w:type="dxa" w:w="2160"/>
          </w:tcPr>
          <w:p>
            <w:r>
              <w:t>IT-услуги техническая поддержка</w:t>
            </w:r>
          </w:p>
        </w:tc>
        <w:tc>
          <w:tcPr>
            <w:tcW w:type="dxa" w:w="2160"/>
          </w:tcPr>
          <w:p>
            <w:r>
              <w:t>3100000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ФСС России</w:t>
            </w:r>
          </w:p>
        </w:tc>
        <w:tc>
          <w:tcPr>
            <w:tcW w:type="dxa" w:w="2160"/>
          </w:tcPr>
          <w:p>
            <w:r>
              <w:t>Обслуживание сетевого оборудования</w:t>
            </w:r>
          </w:p>
        </w:tc>
        <w:tc>
          <w:tcPr>
            <w:tcW w:type="dxa" w:w="2160"/>
          </w:tcPr>
          <w:p>
            <w:r>
              <w:t>1500000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</w:tbl>
    <w:p/>
    <w:p>
      <w:r>
        <w:rPr>
          <w:b w:val="0"/>
        </w:rPr>
        <w:t>Уполномоченное лицо: Иванов Иван Иванович (Генеральный директор)</w:t>
      </w:r>
    </w:p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