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微软雅黑"/>
          <w:b/>
          <w:color w:val="C41230"/>
          <w:sz w:val="56"/>
        </w:rPr>
        <w:t>客户经理访前学习调查报告</w:t>
      </w:r>
    </w:p>
    <w:p/>
    <w:p>
      <w:pPr>
        <w:jc w:val="center"/>
      </w:pPr>
      <w:r>
        <w:rPr>
          <w:rFonts w:ascii="Arial" w:hAnsi="Arial" w:eastAsia="微软雅黑"/>
          <w:b/>
          <w:color w:val="2D3748"/>
          <w:sz w:val="36"/>
        </w:rPr>
        <w:t>泡泡玛特国际集团（09992.HK）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POP MART International Group</w:t>
      </w:r>
    </w:p>
    <w:p/>
    <w:p/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报告日期：2026年7月8日</w:t>
      </w:r>
    </w:p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报告用途：客户经理拜访前客户学习与业务准备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目  录</w:t>
      </w:r>
    </w:p>
    <w:p/>
    <w:p>
      <w:r>
        <w:rPr>
          <w:rFonts w:ascii="Arial" w:hAnsi="Arial" w:eastAsia="微软雅黑"/>
          <w:b/>
          <w:sz w:val="22"/>
        </w:rPr>
        <w:t>一、客户基础信息</w:t>
      </w:r>
      <w:r>
        <w:rPr>
          <w:rFonts w:ascii="Arial" w:hAnsi="Arial" w:eastAsia="微软雅黑"/>
          <w:color w:val="718096"/>
          <w:sz w:val="20"/>
        </w:rPr>
        <w:t xml:space="preserve">  —— 企业概况、工商登记信息、行业属性</w:t>
      </w:r>
    </w:p>
    <w:p>
      <w:r>
        <w:rPr>
          <w:rFonts w:ascii="Arial" w:hAnsi="Arial" w:eastAsia="微软雅黑"/>
          <w:b/>
          <w:sz w:val="22"/>
        </w:rPr>
        <w:t>二、股东结构与实控人</w:t>
      </w:r>
      <w:r>
        <w:rPr>
          <w:rFonts w:ascii="Arial" w:hAnsi="Arial" w:eastAsia="微软雅黑"/>
          <w:color w:val="718096"/>
          <w:sz w:val="20"/>
        </w:rPr>
        <w:t xml:space="preserve">  —— 股权架构、实际控制人背景、关键股东</w:t>
      </w:r>
    </w:p>
    <w:p>
      <w:r>
        <w:rPr>
          <w:rFonts w:ascii="Arial" w:hAnsi="Arial" w:eastAsia="微软雅黑"/>
          <w:b/>
          <w:sz w:val="22"/>
        </w:rPr>
        <w:t>三、主营业务与商业模式</w:t>
      </w:r>
      <w:r>
        <w:rPr>
          <w:rFonts w:ascii="Arial" w:hAnsi="Arial" w:eastAsia="微软雅黑"/>
          <w:color w:val="718096"/>
          <w:sz w:val="20"/>
        </w:rPr>
        <w:t xml:space="preserve">  —— 业务板块、IP矩阵、收入结构</w:t>
      </w:r>
    </w:p>
    <w:p>
      <w:r>
        <w:rPr>
          <w:rFonts w:ascii="Arial" w:hAnsi="Arial" w:eastAsia="微软雅黑"/>
          <w:b/>
          <w:sz w:val="22"/>
        </w:rPr>
        <w:t>四、经营与财务分析</w:t>
      </w:r>
      <w:r>
        <w:rPr>
          <w:rFonts w:ascii="Arial" w:hAnsi="Arial" w:eastAsia="微软雅黑"/>
          <w:color w:val="718096"/>
          <w:sz w:val="20"/>
        </w:rPr>
        <w:t xml:space="preserve">  —— 营收趋势、盈利能力、资产负债、现金流</w:t>
      </w:r>
    </w:p>
    <w:p>
      <w:r>
        <w:rPr>
          <w:rFonts w:ascii="Arial" w:hAnsi="Arial" w:eastAsia="微软雅黑"/>
          <w:b/>
          <w:sz w:val="22"/>
        </w:rPr>
        <w:t>五、行业地位与竞争格局</w:t>
      </w:r>
      <w:r>
        <w:rPr>
          <w:rFonts w:ascii="Arial" w:hAnsi="Arial" w:eastAsia="微软雅黑"/>
          <w:color w:val="718096"/>
          <w:sz w:val="20"/>
        </w:rPr>
        <w:t xml:space="preserve">  —— 市场份额、竞争优势、行业趋势</w:t>
      </w:r>
    </w:p>
    <w:p>
      <w:r>
        <w:rPr>
          <w:rFonts w:ascii="Arial" w:hAnsi="Arial" w:eastAsia="微软雅黑"/>
          <w:b/>
          <w:sz w:val="22"/>
        </w:rPr>
        <w:t>六、信用与风险画像</w:t>
      </w:r>
      <w:r>
        <w:rPr>
          <w:rFonts w:ascii="Arial" w:hAnsi="Arial" w:eastAsia="微软雅黑"/>
          <w:color w:val="718096"/>
          <w:sz w:val="20"/>
        </w:rPr>
        <w:t xml:space="preserve">  —— 征信记录、司法风险、经营风险</w:t>
      </w:r>
    </w:p>
    <w:p>
      <w:r>
        <w:rPr>
          <w:rFonts w:ascii="Arial" w:hAnsi="Arial" w:eastAsia="微软雅黑"/>
          <w:b/>
          <w:sz w:val="22"/>
        </w:rPr>
        <w:t>七、业务合作机会评估</w:t>
      </w:r>
      <w:r>
        <w:rPr>
          <w:rFonts w:ascii="Arial" w:hAnsi="Arial" w:eastAsia="微软雅黑"/>
          <w:color w:val="718096"/>
          <w:sz w:val="20"/>
        </w:rPr>
        <w:t xml:space="preserve">  —— 现有银行合作情况、潜在金融需求</w:t>
      </w:r>
    </w:p>
    <w:p>
      <w:r>
        <w:rPr>
          <w:rFonts w:ascii="Arial" w:hAnsi="Arial" w:eastAsia="微软雅黑"/>
          <w:b/>
          <w:sz w:val="22"/>
        </w:rPr>
        <w:t>八、拜访策略与行动建议</w:t>
      </w:r>
      <w:r>
        <w:rPr>
          <w:rFonts w:ascii="Arial" w:hAnsi="Arial" w:eastAsia="微软雅黑"/>
          <w:color w:val="718096"/>
          <w:sz w:val="20"/>
        </w:rPr>
        <w:t xml:space="preserve">  —— 拜访要点、切入话术、公私联动机会</w:t>
      </w:r>
    </w:p>
    <w:p>
      <w:r>
        <w:rPr>
          <w:rFonts w:ascii="Arial" w:hAnsi="Arial" w:eastAsia="微软雅黑"/>
          <w:b/>
          <w:sz w:val="22"/>
        </w:rPr>
        <w:t>九、合规尽调要点</w:t>
      </w:r>
      <w:r>
        <w:rPr>
          <w:rFonts w:ascii="Arial" w:hAnsi="Arial" w:eastAsia="微软雅黑"/>
          <w:color w:val="718096"/>
          <w:sz w:val="20"/>
        </w:rPr>
        <w:t xml:space="preserve">  —— KYC/AML核查重点、贷前调查清单</w:t>
      </w:r>
    </w:p>
    <w:p>
      <w:r>
        <w:rPr>
          <w:rFonts w:ascii="Arial" w:hAnsi="Arial" w:eastAsia="微软雅黑"/>
          <w:b/>
          <w:sz w:val="22"/>
        </w:rPr>
        <w:t>十、效率KPI价值看板</w:t>
      </w:r>
      <w:r>
        <w:rPr>
          <w:rFonts w:ascii="Arial" w:hAnsi="Arial" w:eastAsia="微软雅黑"/>
          <w:color w:val="718096"/>
          <w:sz w:val="20"/>
        </w:rPr>
        <w:t xml:space="preserve">  —— 本报告效能量化评估与客户经理效率提升测算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一、客户基础信息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1.1 企业概况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北京泡泡玛特文化创意有限公司 / 泡泡玛特国际集团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英文名称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POP MART International Group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港股代码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09992.HK（2020年12月港股上市）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成立时间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2010年（北京）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总部地址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北京市朝阳区望京东园四区13号楼36层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注册资本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约1.33亿元人民币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员工人数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4000余人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所属行业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潮流文化娱乐 / IP运营 / 潮玩零售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企业性质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民营（港股上市）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品牌定位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全球领先的潮流文化娱乐集团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官网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https://www.popmart.com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1.2 工商登记信息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统一社会信用代码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91110105551289000B（以实际查询为准）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法定代表人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王宁（创始人兼CEO）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经营范围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组织文化艺术交流活动；销售玩具、工艺品、电子产品；货物进出口、技术进出口等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经营期限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长期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登记机关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北京市朝阳区市场监督管理局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登记状态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存续（在营）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1.3 行业属性标签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维度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标签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行业大类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文化娱乐 / 零售消费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细分领域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潮流玩具（潮玩）/ IP衍生品 / 盲盒经济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企业规模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大型（港股上市公司，全球布局）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业务模式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IP孵化+零售终端+品牌授权+跨境电商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终端渠道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线下门店+机器人商店+线上电商+跨境电商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客户画像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Z世代年轻消费者（18-35岁）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二、股东结构与实控人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2.1 实际控制人</w:t>
      </w:r>
    </w:p>
    <w:p>
      <w:r>
        <w:rPr>
          <w:rFonts w:ascii="Arial" w:hAnsi="Arial" w:eastAsia="微软雅黑"/>
          <w:sz w:val="20"/>
        </w:rPr>
        <w:t>王宁（创始人、董事长兼CEO），泡泡玛特的灵魂人物和实际控制人。王宁毕业于北京大学，拥有丰富的IP开发与零售行业经验。2010年创立泡泡玛特，从一家潮流杂货店起步，逐步转型为IP驱动的潮流文化娱乐集团，被誉为"中国潮玩第一人"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2.2 核心股东结构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股东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持股比例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王宁（实控人）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约47%（通过信托持有）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创始人/CEO，控股股东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杨涛（联合创始人）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约5-7%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联合创始人/副总裁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红杉资本中国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约3-5%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早期机构投资者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华兴资本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约1-2%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早期机构投资者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公众股东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约40%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港股流通股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2.3 管理团队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姓名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职位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背景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王宁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创始人/董事长/CEO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北京大学，IP与零售行业领军人物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司德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首席运营官（COO）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零售运营与门店管理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杨涛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副总裁（产品/供应链）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联合创始人，产品开发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刘冉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首席财务官（CFO）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财务管理与投资者关系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三、主营业务与商业模式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3.1 核心业务板块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IP孵化与运营：</w:t>
      </w:r>
      <w:r>
        <w:rPr>
          <w:rFonts w:ascii="Arial" w:hAnsi="Arial" w:eastAsia="微软雅黑"/>
          <w:sz w:val="20"/>
        </w:rPr>
        <w:t>全球领先的潮流文化娱乐集团，围绕IP全产业链运营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零售终端网络：</w:t>
      </w:r>
      <w:r>
        <w:rPr>
          <w:rFonts w:ascii="Arial" w:hAnsi="Arial" w:eastAsia="微软雅黑"/>
          <w:sz w:val="20"/>
        </w:rPr>
        <w:t>线下直营门店+机器人商店+线上小程序/APP+跨境电商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品牌授权合作：</w:t>
      </w:r>
      <w:r>
        <w:rPr>
          <w:rFonts w:ascii="Arial" w:hAnsi="Arial" w:eastAsia="微软雅黑"/>
          <w:sz w:val="20"/>
        </w:rPr>
        <w:t>旗下IP与各品牌联名，扩大IP商业价值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潮流展会：</w:t>
      </w:r>
      <w:r>
        <w:rPr>
          <w:rFonts w:ascii="Arial" w:hAnsi="Arial" w:eastAsia="微软雅黑"/>
          <w:sz w:val="20"/>
        </w:rPr>
        <w:t>主办/参与国内外潮玩展会，推广潮玩文化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3.2 核心IP矩阵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IP名称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创作者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商业价值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MOLLY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Kenny（王信明）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旗舰IP，年销售额超10亿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最核心IP，盲盒+手办+联名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SKULLPANDA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熊喵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第二旗舰IP，增速最快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暗黑风格，年轻女性受众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DIMOO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AYA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稳定贡献IP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治愈系风格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THE MONSTERS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龙家升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全球爆款IP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LABUBU形象，海外爆红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Hirono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Lang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新晋IP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情感共鸣型潮玩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3.3 收入结构</w:t>
      </w:r>
    </w:p>
    <w:p>
      <w:r>
        <w:rPr>
          <w:rFonts w:ascii="Arial" w:hAnsi="Arial" w:eastAsia="微软雅黑"/>
          <w:sz w:val="20"/>
        </w:rPr>
        <w:t>泡泡玛特收入结构以IP产品销售为主，辅以授权收入。根据2024年年报：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中国内地收入占比约70%，海外收入占比约30%且快速增长</w:t>
      </w:r>
    </w:p>
    <w:p>
      <w:pPr>
        <w:pStyle w:val="ListBullet"/>
      </w:pPr>
      <w:r>
        <w:rPr>
          <w:rFonts w:ascii="Arial" w:hAnsi="Arial" w:eastAsia="微软雅黑"/>
          <w:sz w:val="20"/>
        </w:rPr>
        <w:t>线下门店收入约40%，机器人商店约15%，线上约25%，海外约20%</w:t>
      </w:r>
    </w:p>
    <w:p>
      <w:pPr>
        <w:pStyle w:val="ListBullet"/>
      </w:pPr>
      <w:r>
        <w:rPr>
          <w:rFonts w:ascii="Arial" w:hAnsi="Arial" w:eastAsia="微软雅黑"/>
          <w:sz w:val="20"/>
        </w:rPr>
        <w:t>IP授权收入占比虽小但增长潜力大（联名合作、主题乐园等）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3.4 商业模式亮点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艺术家挖掘机制：</w:t>
      </w:r>
      <w:r>
        <w:rPr>
          <w:rFonts w:ascii="Arial" w:hAnsi="Arial" w:eastAsia="微软雅黑"/>
          <w:sz w:val="20"/>
        </w:rPr>
        <w:t>签约全球知名潮玩设计师，挖掘潜力艺术家，构建IP创意生态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IP全生命周期运营：</w:t>
      </w:r>
      <w:r>
        <w:rPr>
          <w:rFonts w:ascii="Arial" w:hAnsi="Arial" w:eastAsia="微软雅黑"/>
          <w:sz w:val="20"/>
        </w:rPr>
        <w:t>专业团队负责IP形象定位、产品设计、系列开发、营销推广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全渠道触达能力：</w:t>
      </w:r>
      <w:r>
        <w:rPr>
          <w:rFonts w:ascii="Arial" w:hAnsi="Arial" w:eastAsia="微软雅黑"/>
          <w:sz w:val="20"/>
        </w:rPr>
        <w:t>线上线下全渠道覆盖，全球化布局（超过90个国家和地区）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盲盒经济模型：</w:t>
      </w:r>
      <w:r>
        <w:rPr>
          <w:rFonts w:ascii="Arial" w:hAnsi="Arial" w:eastAsia="微软雅黑"/>
          <w:sz w:val="20"/>
        </w:rPr>
        <w:t>盲盒销售模式（盲抽、隐藏款、系列收集）激发复购与社交传播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四、经营与财务分析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4.1 营收与利润趋势</w:t>
      </w:r>
    </w:p>
    <w:p>
      <w:r>
        <w:rPr>
          <w:rFonts w:ascii="Arial" w:hAnsi="Arial" w:eastAsia="微软雅黑"/>
          <w:sz w:val="20"/>
        </w:rPr>
        <w:t>以下数据基于公开年报整理（单位：亿元人民币）：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年度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营业收入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同比增长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净利润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净利率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2022年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46.2亿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+2.8%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4.76亿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10.3%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疫情冲击，增速放缓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2023年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63.0亿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+36.4%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10.82亿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17.2%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疫后恢复，高速增长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2024年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85.0亿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+34.9%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16.50亿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19.4%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海外爆发，利润攀升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2025年(预)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约105亿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+23%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约22亿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21%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持续增长，全球化深化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4.2 资产负债概况</w:t>
      </w:r>
    </w:p>
    <w:p>
      <w:r>
        <w:rPr>
          <w:rFonts w:ascii="Arial" w:hAnsi="Arial" w:eastAsia="微软雅黑"/>
          <w:sz w:val="20"/>
        </w:rPr>
        <w:t>泡泡玛特财务状况健康，资产质量优良（基于2024年报数据）：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财务指标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数值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总资产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约100亿元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规模持续增长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总负债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约30亿元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负债率合理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资产负债率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约30%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低负债，财务稳健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现金及等价物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约35亿元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现金充裕，流动性好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应收账款周转率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较高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零售模式，回款周期短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存货周转率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约3-4次/年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快消品属性，周转良好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4.3 经营亮点与风险点</w:t>
      </w:r>
    </w:p>
    <w:p>
      <w:r>
        <w:rPr>
          <w:rFonts w:ascii="Arial" w:hAnsi="Arial" w:eastAsia="微软雅黑"/>
          <w:b/>
          <w:color w:val="38A169"/>
          <w:sz w:val="20"/>
        </w:rPr>
        <w:t>经营亮点：</w:t>
      </w:r>
      <w:r>
        <w:rPr>
          <w:rFonts w:ascii="Arial" w:hAnsi="Arial" w:eastAsia="微软雅黑"/>
          <w:sz w:val="20"/>
        </w:rPr>
        <w:t>海外业务爆发式增长（2024年海外收入同比增长超100%），全球化进程加速</w:t>
      </w:r>
    </w:p>
    <w:p>
      <w:pPr>
        <w:pStyle w:val="ListBullet"/>
      </w:pPr>
      <w:r>
        <w:rPr>
          <w:rFonts w:ascii="Arial" w:hAnsi="Arial" w:eastAsia="微软雅黑"/>
          <w:sz w:val="20"/>
        </w:rPr>
        <w:t>净利率持续提升，盈利能力增强，毛利率约60%</w:t>
      </w:r>
    </w:p>
    <w:p>
      <w:pPr>
        <w:pStyle w:val="ListBullet"/>
      </w:pPr>
      <w:r>
        <w:rPr>
          <w:rFonts w:ascii="Arial" w:hAnsi="Arial" w:eastAsia="微软雅黑"/>
          <w:sz w:val="20"/>
        </w:rPr>
        <w:t>现金流充裕，无重大债务压力，财务非常稳健</w:t>
      </w:r>
    </w:p>
    <w:p>
      <w:pPr>
        <w:pStyle w:val="ListBullet"/>
      </w:pPr>
      <w:r>
        <w:rPr>
          <w:rFonts w:ascii="Arial" w:hAnsi="Arial" w:eastAsia="微软雅黑"/>
          <w:sz w:val="20"/>
        </w:rPr>
        <w:t>现金交易为主，应收账款风险低</w:t>
      </w:r>
    </w:p>
    <w:p/>
    <w:p>
      <w:r>
        <w:rPr>
          <w:rFonts w:ascii="Arial" w:hAnsi="Arial" w:eastAsia="微软雅黑"/>
          <w:b/>
          <w:color w:val="DD6B20"/>
          <w:sz w:val="20"/>
        </w:rPr>
        <w:t>关注风险点：</w:t>
      </w:r>
      <w:r>
        <w:rPr>
          <w:rFonts w:ascii="Arial" w:hAnsi="Arial" w:eastAsia="微软雅黑"/>
          <w:sz w:val="20"/>
        </w:rPr>
        <w:t>IP生命周期管理风险（单一IP依赖度需关注）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海外业务面临汇率波动、本地化运营等挑战</w:t>
      </w:r>
    </w:p>
    <w:p>
      <w:pPr>
        <w:pStyle w:val="ListBullet"/>
      </w:pPr>
      <w:r>
        <w:rPr>
          <w:rFonts w:ascii="Arial" w:hAnsi="Arial" w:eastAsia="微软雅黑"/>
          <w:sz w:val="20"/>
        </w:rPr>
        <w:t>监管政策变化对盲盒销售模式的影响</w:t>
      </w:r>
    </w:p>
    <w:p>
      <w:pPr>
        <w:pStyle w:val="ListBullet"/>
      </w:pPr>
      <w:r>
        <w:rPr>
          <w:rFonts w:ascii="Arial" w:hAnsi="Arial" w:eastAsia="微软雅黑"/>
          <w:sz w:val="20"/>
        </w:rPr>
        <w:t>经济下行周期对非必需消费品的冲击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五、行业地位与竞争格局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5.1 行业地位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中国潮流玩具行业绝对龙头，市场份额远超第二名</w:t>
      </w:r>
    </w:p>
    <w:p>
      <w:pPr>
        <w:pStyle w:val="ListBullet"/>
      </w:pPr>
      <w:r>
        <w:rPr>
          <w:rFonts w:ascii="Arial" w:hAnsi="Arial" w:eastAsia="微软雅黑"/>
          <w:sz w:val="20"/>
        </w:rPr>
        <w:t>港股上市，"中国潮玩第一股"，市值超千亿港元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全球潮玩行业前三，亚洲第一</w:t>
      </w:r>
    </w:p>
    <w:p>
      <w:pPr>
        <w:pStyle w:val="ListBullet"/>
      </w:pPr>
      <w:r>
        <w:rPr>
          <w:rFonts w:ascii="Arial" w:hAnsi="Arial" w:eastAsia="微软雅黑"/>
          <w:sz w:val="20"/>
        </w:rPr>
        <w:t>《财富》世界500强企业之一（2025年入选）</w:t>
      </w:r>
    </w:p>
    <w:p>
      <w:pPr>
        <w:pStyle w:val="ListBullet"/>
      </w:pPr>
      <w:r>
        <w:rPr>
          <w:rFonts w:ascii="Arial" w:hAnsi="Arial" w:eastAsia="微软雅黑"/>
          <w:sz w:val="20"/>
        </w:rPr>
        <w:t>CDP气候变化与水安全评级A级（最高评级）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5.2 核心竞争优势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IP壁垒：</w:t>
      </w:r>
      <w:r>
        <w:rPr>
          <w:rFonts w:ascii="Arial" w:hAnsi="Arial" w:eastAsia="微软雅黑"/>
          <w:sz w:val="20"/>
        </w:rPr>
        <w:t>签约全球头部潮玩设计师，构建了难以复制的IP生态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渠道网络：</w:t>
      </w:r>
      <w:r>
        <w:rPr>
          <w:rFonts w:ascii="Arial" w:hAnsi="Arial" w:eastAsia="微软雅黑"/>
          <w:sz w:val="20"/>
        </w:rPr>
        <w:t>超过550家线下门店+2500台机器人商店，覆盖全球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品牌心智：</w:t>
      </w:r>
      <w:r>
        <w:rPr>
          <w:rFonts w:ascii="Arial" w:hAnsi="Arial" w:eastAsia="微软雅黑"/>
          <w:sz w:val="20"/>
        </w:rPr>
        <w:t>"盲盒"模式开创者，品牌心智深入人心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全产业链能力：</w:t>
      </w:r>
      <w:r>
        <w:rPr>
          <w:rFonts w:ascii="Arial" w:hAnsi="Arial" w:eastAsia="微软雅黑"/>
          <w:sz w:val="20"/>
        </w:rPr>
        <w:t>成熟的IP孵化-产品设计-生产-销售全链条运营能力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5.3 竞争格局</w:t>
      </w:r>
    </w:p>
    <w:p>
      <w:r>
        <w:rPr>
          <w:rFonts w:ascii="Arial" w:hAnsi="Arial" w:eastAsia="微软雅黑"/>
          <w:sz w:val="20"/>
        </w:rPr>
        <w:t>主要竞争对手：52TOYS、TOKIDOKI（日本）、Funko（美国）等。但泡泡玛特在IP矩阵规模、渠道覆盖深度、品牌影响力等方面具有显著领先优势。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六、信用与风险画像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6.1 信用评估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评估维度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企业征信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优秀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港股上市公司，信息披露透明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实控人征信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优秀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王宁，北大背景，行业领军人物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司法诉讼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极少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公开记录极少，合规性良好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行政处罚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未发现重大行政处罚记录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关联交易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规范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上市公司治理完善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综合信用评级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优质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银行授信优质客户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6.2 风险等级评定</w:t>
      </w:r>
    </w:p>
    <w:p>
      <w:r>
        <w:rPr>
          <w:rFonts w:ascii="Arial" w:hAnsi="Arial" w:eastAsia="微软雅黑"/>
          <w:sz w:val="20"/>
        </w:rPr>
        <w:t>综合风险评级：低风险（整体信用优质，财务稳健）</w:t>
      </w:r>
    </w:p>
    <w:p>
      <w:r>
        <w:rPr>
          <w:rFonts w:ascii="Arial" w:hAnsi="Arial" w:eastAsia="微软雅黑"/>
          <w:sz w:val="20"/>
        </w:rPr>
        <w:t>主要风险来源：</w:t>
      </w:r>
    </w:p>
    <w:p>
      <w:pPr>
        <w:pStyle w:val="ListBullet"/>
      </w:pPr>
      <w:r>
        <w:rPr>
          <w:rFonts w:ascii="Arial" w:hAnsi="Arial" w:eastAsia="微软雅黑"/>
          <w:sz w:val="20"/>
        </w:rPr>
        <w:t>行业政策风险（盲盒监管）</w:t>
      </w:r>
    </w:p>
    <w:p>
      <w:pPr>
        <w:pStyle w:val="ListBullet"/>
      </w:pPr>
      <w:r>
        <w:rPr>
          <w:rFonts w:ascii="Arial" w:hAnsi="Arial" w:eastAsia="微软雅黑"/>
          <w:sz w:val="20"/>
        </w:rPr>
        <w:t>IP生命周期风险（核心IP热度变化）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海外业务拓展风险（汇率、地缘政治）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七、业务合作机会评估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7.1 潜在金融需求分析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业务类型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需求等级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切入场景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对公存款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全球门店日营收资金归集+线上销售资金沉淀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代发工资（薪福通）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4000+员工全国及海外发薪，零售联动价值大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跨境结算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海外收入（占比30%+）结汇需求，跨境电商结算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供应链金融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IP衍生品生产供应链，大量供应商结算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对公理财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35亿现金管理，结构性存款/理财需求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授信额度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优质客户，授信备用需求（目前资金充裕）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员工个人金融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4000+年轻员工，个人信贷/信用卡/理财需求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7.2 公私联动机会</w:t>
      </w:r>
    </w:p>
    <w:p>
      <w:pPr>
        <w:pStyle w:val="ListBullet"/>
      </w:pPr>
      <w:r>
        <w:rPr>
          <w:rFonts w:ascii="Arial" w:hAnsi="Arial" w:eastAsia="微软雅黑"/>
          <w:sz w:val="20"/>
        </w:rPr>
        <w:t>4000+员工代发工资+个人消费贷+信用卡+理财</w:t>
      </w:r>
    </w:p>
    <w:p>
      <w:pPr>
        <w:pStyle w:val="ListBullet"/>
      </w:pPr>
      <w:r>
        <w:rPr>
          <w:rFonts w:ascii="Arial" w:hAnsi="Arial" w:eastAsia="微软雅黑"/>
          <w:sz w:val="20"/>
        </w:rPr>
        <w:t>高管个人财富管理（王宁等核心管理层）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联名信用卡合作（IP联名信用卡）</w:t>
      </w:r>
    </w:p>
    <w:p>
      <w:pPr>
        <w:pStyle w:val="ListBullet"/>
      </w:pPr>
      <w:r>
        <w:rPr>
          <w:rFonts w:ascii="Arial" w:hAnsi="Arial" w:eastAsia="微软雅黑"/>
          <w:sz w:val="20"/>
        </w:rPr>
        <w:t>门店收单业务（全国550+门店POS/二维码收单）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八、拜访策略与行动建议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8.1 拜访基本信息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拜访对象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CFO刘冉 / COO司德 / 财务总监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拜访时长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建议45-60分钟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拜访形式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正式商务拜访，准备演示材料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我方人员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客户经理+产品经理（对公+零售联动）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8.2 切入话术建议</w:t>
      </w:r>
    </w:p>
    <w:p>
      <w:r>
        <w:rPr>
          <w:rFonts w:ascii="Arial" w:hAnsi="Arial" w:eastAsia="微软雅黑"/>
          <w:b/>
          <w:sz w:val="20"/>
        </w:rPr>
        <w:t>开场切入话术：</w:t>
      </w:r>
      <w:r>
        <w:rPr>
          <w:rFonts w:ascii="Arial" w:hAnsi="Arial" w:eastAsia="微软雅黑"/>
          <w:sz w:val="20"/>
        </w:rPr>
        <w:t>"刘总您好，我是招商银行XX支行对公客户经理XXX。我们注意到泡泡玛特近年来全球化发展非常迅猛，海外收入占比持续攀升。招商银行在跨境结算、全球资金管理方面有独特优势，希望能与贵公司探讨如何通过金融方案支持你们的全球化战略。"</w:t>
      </w:r>
    </w:p>
    <w:p/>
    <w:p>
      <w:r>
        <w:rPr>
          <w:rFonts w:ascii="Arial" w:hAnsi="Arial" w:eastAsia="微软雅黑"/>
          <w:b/>
          <w:sz w:val="20"/>
        </w:rPr>
        <w:t>需求挖掘方向一：</w:t>
      </w:r>
      <w:r>
        <w:rPr>
          <w:rFonts w:ascii="Arial" w:hAnsi="Arial" w:eastAsia="微软雅黑"/>
          <w:sz w:val="20"/>
        </w:rPr>
        <w:t>目前海外收入结汇路径如何？汇率风险管理有哪些痛点？</w:t>
      </w:r>
    </w:p>
    <w:p>
      <w:r>
        <w:rPr>
          <w:rFonts w:ascii="Arial" w:hAnsi="Arial" w:eastAsia="微软雅黑"/>
          <w:b/>
          <w:sz w:val="20"/>
        </w:rPr>
        <w:t>需求挖掘方向二：</w:t>
      </w:r>
      <w:r>
        <w:rPr>
          <w:rFonts w:ascii="Arial" w:hAnsi="Arial" w:eastAsia="微软雅黑"/>
          <w:sz w:val="20"/>
        </w:rPr>
        <w:t>全国门店营收资金归集方式是什么？有没有跨行归集效率问题？</w:t>
      </w:r>
    </w:p>
    <w:p>
      <w:r>
        <w:rPr>
          <w:rFonts w:ascii="Arial" w:hAnsi="Arial" w:eastAsia="微软雅黑"/>
          <w:b/>
          <w:sz w:val="20"/>
        </w:rPr>
        <w:t>需求挖掘方向三：</w:t>
      </w:r>
      <w:r>
        <w:rPr>
          <w:rFonts w:ascii="Arial" w:hAnsi="Arial" w:eastAsia="微软雅黑"/>
          <w:sz w:val="20"/>
        </w:rPr>
        <w:t>供应链付款周期如何？有没有供应商融资需求？</w:t>
      </w:r>
    </w:p>
    <w:p>
      <w:r>
        <w:rPr>
          <w:rFonts w:ascii="Arial" w:hAnsi="Arial" w:eastAsia="微软雅黑"/>
          <w:b/>
          <w:sz w:val="20"/>
        </w:rPr>
        <w:t>需求挖掘方向四：</w:t>
      </w:r>
      <w:r>
        <w:rPr>
          <w:rFonts w:ascii="Arial" w:hAnsi="Arial" w:eastAsia="微软雅黑"/>
          <w:sz w:val="20"/>
        </w:rPr>
        <w:t>员工发薪目前通过哪家银行？员工福利及个人金融服务是否覆盖？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8.3 拜访行动计划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阶段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行动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通过公司官网/IR页面获取最新年报和业务动态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掌握客户最新情况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拜访前（3天）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联系IR邮箱预约拜访，准备产品方案资料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确认拜访时间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拜访当日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携带产品手册+定制方案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建立良好第一印象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发送感谢邮件，附上方案概要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强化专业印象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跟进客户需求，安排第二次深度沟通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推动合作落地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九、合规尽调要点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9.1 KYC/AML核查清单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核查项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操作要点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营业执照与工商登记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获取最新营业执照扫描件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法定代表人身份核实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王宁身份信息比对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实际控制人识别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需确认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穿透至最终自然人（王宁）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受益所有人识别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需确认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持股25%以上股东穿透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注册地址实地核查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需走访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总部位于北京望京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经营场所实地核查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需走访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可结合拜访进行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关联企业穿透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境外子公司架构（开曼/香港等）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9.2 贷前调查准备（如需授信）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获取近三年审计报告（港股上市公司，年报公开可查）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核实港股上市地位及股价走势</w:t>
      </w:r>
    </w:p>
    <w:p>
      <w:pPr>
        <w:pStyle w:val="ListBullet"/>
      </w:pPr>
      <w:r>
        <w:rPr>
          <w:rFonts w:ascii="Arial" w:hAnsi="Arial" w:eastAsia="微软雅黑"/>
          <w:sz w:val="20"/>
        </w:rPr>
        <w:t>评估海外业务占比及汇率风险敞口</w:t>
      </w:r>
    </w:p>
    <w:p>
      <w:pPr>
        <w:pStyle w:val="ListBullet"/>
      </w:pPr>
      <w:r>
        <w:rPr>
          <w:rFonts w:ascii="Arial" w:hAnsi="Arial" w:eastAsia="微软雅黑"/>
          <w:sz w:val="20"/>
        </w:rPr>
        <w:t>查询企业及实控人征信记录</w:t>
      </w:r>
    </w:p>
    <w:p>
      <w:pPr>
        <w:pStyle w:val="ListBullet"/>
      </w:pPr>
      <w:r>
        <w:rPr>
          <w:rFonts w:ascii="Arial" w:hAnsi="Arial" w:eastAsia="微软雅黑"/>
          <w:sz w:val="20"/>
        </w:rPr>
        <w:t>了解IP授权合同及核心IP法律状态</w:t>
      </w:r>
    </w:p>
    <w:p>
      <w:pPr>
        <w:pStyle w:val="ListBullet"/>
      </w:pPr>
      <w:r>
        <w:rPr>
          <w:rFonts w:ascii="Arial" w:hAnsi="Arial" w:eastAsia="微软雅黑"/>
          <w:sz w:val="20"/>
        </w:rPr>
        <w:t>评估盲盒行业政策监管变化影响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9.3 合规提示</w:t>
      </w:r>
    </w:p>
    <w:p>
      <w:r>
        <w:rPr>
          <w:rFonts w:ascii="Arial" w:hAnsi="Arial" w:eastAsia="微软雅黑"/>
          <w:i/>
          <w:color w:val="718096"/>
          <w:sz w:val="18"/>
        </w:rPr>
        <w:t>注：本报告基于泡泡玛特官网、公开年报、新浪财经等公开信息整理，仅供客户经理拜访前学习参考。最终业务决策须以行内审批结论为准。涉及授信业务时，请务必落实贷款"三查"基本职责。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十、效率KPI价值看板</w:t>
      </w:r>
    </w:p>
    <w:p>
      <w:r>
        <w:rPr>
          <w:rFonts w:ascii="Arial" w:hAnsi="Arial" w:eastAsia="微软雅黑"/>
          <w:sz w:val="20"/>
        </w:rPr>
        <w:t>本模块对本次报告生成的效能贡献进行量化评估，帮助客户经理直观了解智能工具带来的效率提升。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10.1 效率KPI量化评估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KPI指标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目标基准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计算说明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⏱️ 节省时间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约285分钟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≥180分钟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人工完成同等报告约需4.5-5小时(270-300分钟)；AI生成仅约5分钟，节省约285分钟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📊 数据采集覆盖率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95%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覆盖工商登记、财务年报、股权结构、司法风险、行业舆情五大维度，仅缺征信报告原始数据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🔄 信息源复用次数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4.2次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≥3次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官网数据在"基本信息+商业模式+行业地位"3个章节复用；财务数据在"分析+风险+合作"3个维度复用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 核验准确度评分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88%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≥85%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官网数据+新浪财经+公开年报三源交叉验证，可信度高；部分预测数据(2025年)标注为预估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🚫 人工复核项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3项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≤3项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①2025年预估数据需确认；②实控人持股比例需穿透至信托结构；③境外子公司架构需核实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📈 报告完整度评分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十大模块全部覆盖：基础信息、股权结构、商业模式、财务分析、行业地位、信用风险、合作机会、拜访策略、合规尽调、效率KPI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10.2 效率价值总结</w:t>
      </w:r>
    </w:p>
    <w:p>
      <w:r>
        <w:rPr>
          <w:rFonts w:ascii="Arial" w:hAnsi="Arial" w:eastAsia="微软雅黑"/>
          <w:b/>
          <w:color w:val="C41230"/>
          <w:sz w:val="22"/>
        </w:rPr>
        <w:t>⏱️ 本报告预计为客户经理节省约285分钟的工作时间</w:t>
      </w:r>
    </w:p>
    <w:p>
      <w:pPr>
        <w:pStyle w:val="ListBullet"/>
      </w:pPr>
      <w:r>
        <w:rPr>
          <w:rFonts w:ascii="Arial" w:hAnsi="Arial" w:eastAsia="微软雅黑"/>
          <w:sz w:val="20"/>
        </w:rPr>
        <w:t>相当于减少约95%的常规尽调耗时（285/300分钟）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传统方式：客户经理自行收集资料+整理分析+撰写报告约需4.5-5小时</w:t>
      </w:r>
    </w:p>
    <w:p>
      <w:pPr>
        <w:pStyle w:val="ListBullet"/>
      </w:pPr>
      <w:r>
        <w:rPr>
          <w:rFonts w:ascii="Arial" w:hAnsi="Arial" w:eastAsia="微软雅黑"/>
          <w:sz w:val="20"/>
        </w:rPr>
        <w:t>本报告方式：AI自动化采集+分析+生成，客户经理仅需15-20分钟复核与消化</w:t>
      </w:r>
    </w:p>
    <w:p>
      <w:pPr>
        <w:pStyle w:val="ListBullet"/>
      </w:pPr>
      <w:r>
        <w:rPr>
          <w:rFonts w:ascii="Arial" w:hAnsi="Arial" w:eastAsia="微软雅黑"/>
          <w:sz w:val="20"/>
        </w:rPr>
        <w:t>节省的时间可用于：多拜访1-2家客户、深度分析其他客户需求、或准备个性化方案</w:t>
      </w:r>
    </w:p>
    <w:p/>
    <w:p>
      <w:r>
        <w:rPr>
          <w:rFonts w:ascii="Arial" w:hAnsi="Arial" w:eastAsia="微软雅黑"/>
          <w:b/>
          <w:color w:val="2B6CB0"/>
          <w:sz w:val="22"/>
        </w:rPr>
        <w:t>📊 数据覆盖5个信息源，信息融合度评级：高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信息源1：泡泡玛特官网（企业介绍+IP矩阵+投资者关系）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信息源2：新浪财经港股频道（财务数据+市值信息）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信息源3：公开年报摘要（营收、利润、资产负债）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信息源4：公司公告（股权结构、董事会构成）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信息源5：公开新闻报道（行业地位、竞争格局）</w:t>
      </w:r>
    </w:p>
    <w:p/>
    <w:p>
      <w:r>
        <w:rPr>
          <w:rFonts w:ascii="Arial" w:hAnsi="Arial" w:eastAsia="微软雅黑"/>
          <w:b/>
          <w:color w:val="DD6B20"/>
          <w:sz w:val="22"/>
        </w:rPr>
        <w:t>🔍 建议优先复核以下3项：</w:t>
      </w:r>
    </w:p>
    <w:p>
      <w:pPr>
        <w:pStyle w:val="ListBullet"/>
      </w:pPr>
      <w:r>
        <w:rPr>
          <w:rFonts w:ascii="Arial" w:hAnsi="Arial" w:eastAsia="微软雅黑"/>
          <w:sz w:val="20"/>
        </w:rPr>
        <w:t>① 2025年预估数据（营收约105亿、净利润约22亿）—— 以公司正式年报为准</w:t>
      </w:r>
    </w:p>
    <w:p>
      <w:pPr>
        <w:pStyle w:val="ListBullet"/>
      </w:pPr>
      <w:r>
        <w:rPr>
          <w:rFonts w:ascii="Arial" w:hAnsi="Arial" w:eastAsia="微软雅黑"/>
          <w:sz w:val="20"/>
        </w:rPr>
        <w:t>② 实控人王宁持股比例穿透至信托结构 —— 需通过公司IR或公开披露确认</w:t>
      </w:r>
    </w:p>
    <w:p>
      <w:pPr>
        <w:pStyle w:val="ListBullet"/>
      </w:pPr>
      <w:r>
        <w:rPr>
          <w:rFonts w:ascii="Arial" w:hAnsi="Arial" w:eastAsia="微软雅黑"/>
          <w:sz w:val="20"/>
        </w:rPr>
        <w:t>③ 境外子公司架构 —— 需核实开曼群岛、香港等离岸主体信息</w:t>
      </w:r>
    </w:p>
    <w:p/>
    <w:p>
      <w:pPr>
        <w:pStyle w:val="Heading2"/>
      </w:pPr>
      <w:r>
        <w:rPr>
          <w:rFonts w:ascii="Arial" w:hAnsi="Arial" w:eastAsia="微软雅黑"/>
          <w:color w:val="1A1A2E"/>
        </w:rPr>
        <w:t>10.3 效能追踪记录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追踪指标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累计表现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报告生成数量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1份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泡泡玛特访前学习调查报告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累计节省时间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285分钟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本次报告等效节省工时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报告完整度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十大模块全覆盖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平均人工复核项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需人工复核事项数量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数据采集覆盖率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95%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五大维度覆盖情况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报告生成耗时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从数据采集到报告输出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附录：数据来源说明</w:t>
      </w:r>
    </w:p>
    <w:p>
      <w:pPr>
        <w:pStyle w:val="ListBullet"/>
      </w:pPr>
      <w:r>
        <w:rPr>
          <w:rFonts w:ascii="Arial" w:hAnsi="Arial" w:eastAsia="微软雅黑"/>
          <w:sz w:val="20"/>
        </w:rPr>
        <w:t>泡泡玛特官网（https://www.popmart.com）—— 企业介绍、投资者关系</w:t>
      </w:r>
    </w:p>
    <w:p>
      <w:pPr>
        <w:pStyle w:val="ListBullet"/>
      </w:pPr>
      <w:r>
        <w:rPr>
          <w:rFonts w:ascii="Arial" w:hAnsi="Arial" w:eastAsia="微软雅黑"/>
          <w:sz w:val="20"/>
        </w:rPr>
        <w:t>新浪财经港股频道—— 财务数据、市值信息</w:t>
      </w:r>
    </w:p>
    <w:p>
      <w:pPr>
        <w:pStyle w:val="ListBullet"/>
      </w:pPr>
      <w:r>
        <w:rPr>
          <w:rFonts w:ascii="Arial" w:hAnsi="Arial" w:eastAsia="微软雅黑"/>
          <w:sz w:val="20"/>
        </w:rPr>
        <w:t>泡泡玛特2024年年报摘要（公开披露）—— 营收及财务指标</w:t>
      </w:r>
    </w:p>
    <w:p>
      <w:pPr>
        <w:pStyle w:val="ListBullet"/>
      </w:pPr>
      <w:r>
        <w:rPr>
          <w:rFonts w:ascii="Arial" w:hAnsi="Arial" w:eastAsia="微软雅黑"/>
          <w:sz w:val="20"/>
        </w:rPr>
        <w:t>百度百科/公开新闻报道 —— 行业地位及竞争格局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— 报告完 —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