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 w:eastAsia="微软雅黑"/>
          <w:b/>
          <w:color w:val="C41230"/>
          <w:sz w:val="56"/>
        </w:rPr>
        <w:t>客户经理访前学习调查报告</w:t>
      </w:r>
    </w:p>
    <w:p/>
    <w:p>
      <w:pPr>
        <w:jc w:val="center"/>
      </w:pPr>
      <w:r>
        <w:rPr>
          <w:rFonts w:ascii="Arial" w:hAnsi="Arial" w:eastAsia="微软雅黑"/>
          <w:b/>
          <w:color w:val="2D3748"/>
          <w:sz w:val="36"/>
        </w:rPr>
        <w:t>比亚迪股份有限公司（002594.SZ / 01211.HK）</w:t>
      </w:r>
    </w:p>
    <w:p/>
    <w:p>
      <w:pPr>
        <w:jc w:val="center"/>
      </w:pPr>
      <w:r>
        <w:rPr>
          <w:rFonts w:ascii="Arial" w:hAnsi="Arial" w:eastAsia="微软雅黑"/>
          <w:b w:val="0"/>
          <w:color w:val="718096"/>
          <w:sz w:val="24"/>
        </w:rPr>
        <w:t>BYD Company Limited</w:t>
      </w:r>
    </w:p>
    <w:p/>
    <w:p/>
    <w:p>
      <w:pPr>
        <w:jc w:val="center"/>
      </w:pPr>
      <w:r>
        <w:rPr>
          <w:rFonts w:ascii="Arial" w:hAnsi="Arial" w:eastAsia="微软雅黑"/>
          <w:b w:val="0"/>
          <w:color w:val="718096"/>
          <w:sz w:val="22"/>
        </w:rPr>
        <w:t>报告日期：2026年7月12日</w:t>
      </w:r>
    </w:p>
    <w:p>
      <w:pPr>
        <w:jc w:val="center"/>
      </w:pPr>
      <w:r>
        <w:rPr>
          <w:rFonts w:ascii="Arial" w:hAnsi="Arial" w:eastAsia="微软雅黑"/>
          <w:b w:val="0"/>
          <w:color w:val="718096"/>
          <w:sz w:val="22"/>
        </w:rPr>
        <w:t>报告用途：客户经理拜访前客户学习与业务准备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目  录</w:t>
      </w:r>
    </w:p>
    <w:p/>
    <w:p>
      <w:r>
        <w:rPr>
          <w:rFonts w:ascii="Arial" w:hAnsi="Arial" w:eastAsia="微软雅黑"/>
          <w:b/>
          <w:sz w:val="22"/>
        </w:rPr>
        <w:t>一、客户基础信息</w:t>
      </w:r>
      <w:r>
        <w:rPr>
          <w:rFonts w:ascii="Arial" w:hAnsi="Arial" w:eastAsia="微软雅黑"/>
          <w:color w:val="718096"/>
          <w:sz w:val="20"/>
        </w:rPr>
        <w:t xml:space="preserve">  —— 企业概况、工商登记信息、行业属性</w:t>
      </w:r>
    </w:p>
    <w:p>
      <w:r>
        <w:rPr>
          <w:rFonts w:ascii="Arial" w:hAnsi="Arial" w:eastAsia="微软雅黑"/>
          <w:b/>
          <w:sz w:val="22"/>
        </w:rPr>
        <w:t>二、股东结构与实控人</w:t>
      </w:r>
      <w:r>
        <w:rPr>
          <w:rFonts w:ascii="Arial" w:hAnsi="Arial" w:eastAsia="微软雅黑"/>
          <w:color w:val="718096"/>
          <w:sz w:val="20"/>
        </w:rPr>
        <w:t xml:space="preserve">  —— 股权架构、实际控制人背景、关键股东</w:t>
      </w:r>
    </w:p>
    <w:p>
      <w:r>
        <w:rPr>
          <w:rFonts w:ascii="Arial" w:hAnsi="Arial" w:eastAsia="微软雅黑"/>
          <w:b/>
          <w:sz w:val="22"/>
        </w:rPr>
        <w:t>三、主营业务与商业模式</w:t>
      </w:r>
      <w:r>
        <w:rPr>
          <w:rFonts w:ascii="Arial" w:hAnsi="Arial" w:eastAsia="微软雅黑"/>
          <w:color w:val="718096"/>
          <w:sz w:val="20"/>
        </w:rPr>
        <w:t xml:space="preserve">  —— 业务板块、产品体系、收入结构</w:t>
      </w:r>
    </w:p>
    <w:p>
      <w:r>
        <w:rPr>
          <w:rFonts w:ascii="Arial" w:hAnsi="Arial" w:eastAsia="微软雅黑"/>
          <w:b/>
          <w:sz w:val="22"/>
        </w:rPr>
        <w:t>四、经营与财务分析</w:t>
      </w:r>
      <w:r>
        <w:rPr>
          <w:rFonts w:ascii="Arial" w:hAnsi="Arial" w:eastAsia="微软雅黑"/>
          <w:color w:val="718096"/>
          <w:sz w:val="20"/>
        </w:rPr>
        <w:t xml:space="preserve">  —— 营收趋势、盈利能力、资产负债、现金流</w:t>
      </w:r>
    </w:p>
    <w:p>
      <w:r>
        <w:rPr>
          <w:rFonts w:ascii="Arial" w:hAnsi="Arial" w:eastAsia="微软雅黑"/>
          <w:b/>
          <w:sz w:val="22"/>
        </w:rPr>
        <w:t>五、行业地位与竞争格局</w:t>
      </w:r>
      <w:r>
        <w:rPr>
          <w:rFonts w:ascii="Arial" w:hAnsi="Arial" w:eastAsia="微软雅黑"/>
          <w:color w:val="718096"/>
          <w:sz w:val="20"/>
        </w:rPr>
        <w:t xml:space="preserve">  —— 市场份额、竞争优势、行业趋势</w:t>
      </w:r>
    </w:p>
    <w:p>
      <w:r>
        <w:rPr>
          <w:rFonts w:ascii="Arial" w:hAnsi="Arial" w:eastAsia="微软雅黑"/>
          <w:b/>
          <w:sz w:val="22"/>
        </w:rPr>
        <w:t>六、信用与风险画像</w:t>
      </w:r>
      <w:r>
        <w:rPr>
          <w:rFonts w:ascii="Arial" w:hAnsi="Arial" w:eastAsia="微软雅黑"/>
          <w:color w:val="718096"/>
          <w:sz w:val="20"/>
        </w:rPr>
        <w:t xml:space="preserve">  —— 征信记录、司法风险、经营风险</w:t>
      </w:r>
    </w:p>
    <w:p>
      <w:r>
        <w:rPr>
          <w:rFonts w:ascii="Arial" w:hAnsi="Arial" w:eastAsia="微软雅黑"/>
          <w:b/>
          <w:sz w:val="22"/>
        </w:rPr>
        <w:t>七、业务合作机会评估</w:t>
      </w:r>
      <w:r>
        <w:rPr>
          <w:rFonts w:ascii="Arial" w:hAnsi="Arial" w:eastAsia="微软雅黑"/>
          <w:color w:val="718096"/>
          <w:sz w:val="20"/>
        </w:rPr>
        <w:t xml:space="preserve">  —— 现有银行合作情况、潜在金融需求</w:t>
      </w:r>
    </w:p>
    <w:p>
      <w:r>
        <w:rPr>
          <w:rFonts w:ascii="Arial" w:hAnsi="Arial" w:eastAsia="微软雅黑"/>
          <w:b/>
          <w:sz w:val="22"/>
        </w:rPr>
        <w:t>八、拜访策略与行动建议</w:t>
      </w:r>
      <w:r>
        <w:rPr>
          <w:rFonts w:ascii="Arial" w:hAnsi="Arial" w:eastAsia="微软雅黑"/>
          <w:color w:val="718096"/>
          <w:sz w:val="20"/>
        </w:rPr>
        <w:t xml:space="preserve">  —— 拜访要点、切入话术、公私联动机会</w:t>
      </w:r>
    </w:p>
    <w:p>
      <w:r>
        <w:rPr>
          <w:rFonts w:ascii="Arial" w:hAnsi="Arial" w:eastAsia="微软雅黑"/>
          <w:b/>
          <w:sz w:val="22"/>
        </w:rPr>
        <w:t>九、合规尽调要点</w:t>
      </w:r>
      <w:r>
        <w:rPr>
          <w:rFonts w:ascii="Arial" w:hAnsi="Arial" w:eastAsia="微软雅黑"/>
          <w:color w:val="718096"/>
          <w:sz w:val="20"/>
        </w:rPr>
        <w:t xml:space="preserve">  —— KYC/AML核查重点、贷前调查清单</w:t>
      </w:r>
    </w:p>
    <w:p>
      <w:r>
        <w:rPr>
          <w:rFonts w:ascii="Arial" w:hAnsi="Arial" w:eastAsia="微软雅黑"/>
          <w:b/>
          <w:sz w:val="22"/>
        </w:rPr>
        <w:t>十、效率KPI价值看板</w:t>
      </w:r>
      <w:r>
        <w:rPr>
          <w:rFonts w:ascii="Arial" w:hAnsi="Arial" w:eastAsia="微软雅黑"/>
          <w:color w:val="718096"/>
          <w:sz w:val="20"/>
        </w:rPr>
        <w:t xml:space="preserve">  —— 本报告效能量化评估与客户经理效率提升测算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一、客户基础信息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1.1 企业概况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项目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企业名称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比亚迪股份有限公司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英文名称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BYD Company Limited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A股代码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002594.SZ（深交所，2011年6月30日上市）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港股代码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01211.HK（港交所，2002年7月31日上市）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成立时间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1995年2月10日（前身深圳市比亚迪实业有限公司）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注册资本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约91.17亿元人民币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总部地址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广东省深圳市坪山区比亚迪路3009号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员工人数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约90万人（含生产人员、研发人员、销售人员等）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所属行业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汽车制造 / 新能源 / 电子代工 / 电池制造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企业性质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民营（A+H股上市公司）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品牌定位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全球领先的新能源汽车及动力电池制造商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官网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https://www.bydglobal.com / https://www.byd.com/cn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公司电话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0755-89888888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董事会秘书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李黔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color w:val="1A1A2E"/>
        </w:rPr>
        <w:t>1.2 工商登记信息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项目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法定代表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王传福（创始人兼董事长/总裁）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成立日期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1995年2月10日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注册地址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广东省深圳市大鹏新区葵涌街道延安路一号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办公地址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深圳市坪山区比亚迪路3009号 / 香港新界白石角科学园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组织形式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民营企业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发行价格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18.00元（A股IPO）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主承销商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瑞银证券有限责任公司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color w:val="1A1A2E"/>
        </w:rPr>
        <w:t>1.3 行业属性标签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维度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标签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行业大类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汽车制造 / 新能源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细分领域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新能源汽车 / 动力电池 / 电子代工 / 轨道交通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企业规模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超大型（世界500强，员工约90万人）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业务模式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垂直一体化（电池-电机-电控-整车全产业链）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终端渠道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4S店+直营店+线上商城+海外经销商网络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客户画像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个人消费者、出租车/网约车运营商、政府/企事业单位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二、股东结构与实控人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2.1 实际控制人</w:t>
      </w:r>
    </w:p>
    <w:p>
      <w:r>
        <w:rPr>
          <w:rFonts w:ascii="Arial" w:hAnsi="Arial" w:eastAsia="微软雅黑"/>
          <w:sz w:val="20"/>
        </w:rPr>
        <w:t>王传福（创始人、董事长兼总裁），比亚迪的灵魂人物和实际控制人。王传福1966年出生，北京有色金属研究总院硕士，教授级高级工程师。1995年辞职创办比亚迪，从电池起家，逐步进入手机部件代工、汽车制造、新能源汽车、动力电池、半导体等领域，被誉为"中国新能源汽车之父"。2025年入选《财富》世界500强第143位。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2.2 核心股东结构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股东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持股比例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王传福（实控人）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约17.7%（直接+间接）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创始人/董事长/总裁，实际控制人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吕向阳（融捷集团）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约8.2%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王传福表哥，早期投资人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香港中央结算公司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约7.5%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港股存管/北向资金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Berkshire Hathaway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约5.5%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巴菲特旗下，2008年入股至今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其他机构/公众股东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约61.1%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含A股流通股东和港股公众股东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2.3 核心管理团队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姓名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职位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背景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王传福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董事长/总裁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北京有色金属研究总院硕士，教授级高工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李柯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执行副总裁（海外业务）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负责全球海外市场拓展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罗红斌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副总裁（研发）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新能源汽车核心技术研发负责人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何龙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副总裁（弗迪电池）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动力电池业务负责人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李黔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董事会秘书/CFO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财务管理与投资者关系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三、主营业务与商业模式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3.1 核心业务板块</w:t>
      </w:r>
    </w:p>
    <w:p>
      <w:r>
        <w:rPr>
          <w:rFonts w:ascii="Arial" w:hAnsi="Arial" w:eastAsia="微软雅黑"/>
          <w:sz w:val="20"/>
        </w:rPr>
        <w:t>比亚迪业务涵盖三大板块，形成"一体两翼"格局：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① 汽车业务（核心主业）：</w:t>
      </w:r>
      <w:r>
        <w:rPr>
          <w:rFonts w:ascii="Arial" w:hAnsi="Arial" w:eastAsia="微软雅黑"/>
          <w:sz w:val="20"/>
        </w:rPr>
        <w:t>包含乘用车（王朝/海洋/腾势/仰望/方程豹）、商用车（大巴/卡车）、轨道交通（云轨/云巴）。2024年新能源汽车销量约425万辆，全球第一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② 二次充电电池及光伏业务：</w:t>
      </w:r>
      <w:r>
        <w:rPr>
          <w:rFonts w:ascii="Arial" w:hAnsi="Arial" w:eastAsia="微软雅黑"/>
          <w:sz w:val="20"/>
        </w:rPr>
        <w:t>涵盖动力电池（刀片电池、弗迪电池）、电机、电控等核心三电系统，并向其他车企供应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③ 手机部件及组装业务（电子代工）：</w:t>
      </w:r>
      <w:r>
        <w:rPr>
          <w:rFonts w:ascii="Arial" w:hAnsi="Arial" w:eastAsia="微软雅黑"/>
          <w:sz w:val="20"/>
        </w:rPr>
        <w:t>为全球消费电子品牌提供手机部件、金属中框、整机组装服务，客户含苹果/华为/三星/vivo/OPPO等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3.2 车型矩阵（乘用车）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品牌系列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代表车型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定位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价格区间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王朝系列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汉EV/DM-i、唐EV/DM-i、宋系列、秦系列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家用/商务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8-35万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海洋系列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海豹、海豚、海鸥、驱逐舰、护卫舰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年轻/运动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6-30万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腾势（Denza）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腾势D9、N7、N8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高端MPV/SUV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30-50万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仰望（Yangwang）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仰望U8（越野）、U9（超跑）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超豪华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80-168万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方程豹（Fangchengbao）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豹5、豹8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个性越野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28-50万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3.3 收入结构</w:t>
      </w:r>
    </w:p>
    <w:p>
      <w:r>
        <w:rPr>
          <w:rFonts w:ascii="Arial" w:hAnsi="Arial" w:eastAsia="微软雅黑"/>
          <w:sz w:val="20"/>
        </w:rPr>
        <w:t>基于2024年报数据估算收入占比：</w:t>
      </w:r>
    </w:p>
    <w:p>
      <w:pPr>
        <w:pStyle w:val="ListBullet"/>
      </w:pPr>
      <w:r>
        <w:rPr>
          <w:rFonts w:ascii="Arial" w:hAnsi="Arial" w:eastAsia="微软雅黑"/>
          <w:sz w:val="20"/>
        </w:rPr>
        <w:t>汽车及相关产品约75%（约5,830亿）—— 绝对主业</w:t>
      </w:r>
    </w:p>
    <w:p>
      <w:pPr>
        <w:pStyle w:val="ListBullet"/>
      </w:pPr>
      <w:r>
        <w:rPr>
          <w:rFonts w:ascii="Arial" w:hAnsi="Arial" w:eastAsia="微软雅黑"/>
          <w:sz w:val="20"/>
        </w:rPr>
        <w:t>手机部件及组装约20%（约1,550亿）—— 稳定贡献</w:t>
      </w:r>
    </w:p>
    <w:p>
      <w:pPr>
        <w:pStyle w:val="ListBullet"/>
      </w:pPr>
      <w:r>
        <w:rPr>
          <w:rFonts w:ascii="Arial" w:hAnsi="Arial" w:eastAsia="微软雅黑"/>
          <w:sz w:val="20"/>
        </w:rPr>
        <w:t>二次充电电池及光伏约5%（约390亿）—— 快速增长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3.4 商业模式亮点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垂直一体化：</w:t>
      </w:r>
      <w:r>
        <w:rPr>
          <w:rFonts w:ascii="Arial" w:hAnsi="Arial" w:eastAsia="微软雅黑"/>
          <w:sz w:val="20"/>
        </w:rPr>
        <w:t>比亚迪是全球唯一同时掌握电池、电机、电控、IGBT芯片、整车制造全产业链的车企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核心技术壁垒：</w:t>
      </w:r>
      <w:r>
        <w:rPr>
          <w:rFonts w:ascii="Arial" w:hAnsi="Arial" w:eastAsia="微软雅黑"/>
          <w:sz w:val="20"/>
        </w:rPr>
        <w:t>刀片电池、DM-i超级混动、e平台3.0、CTB电池车身一体化、云辇智能车身控制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全价格带覆盖：</w:t>
      </w:r>
      <w:r>
        <w:rPr>
          <w:rFonts w:ascii="Arial" w:hAnsi="Arial" w:eastAsia="微软雅黑"/>
          <w:sz w:val="20"/>
        </w:rPr>
        <w:t>产品覆盖6万到168万价格带，从个人代步到豪华旗舰全布局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全球化加速：</w:t>
      </w:r>
      <w:r>
        <w:rPr>
          <w:rFonts w:ascii="Arial" w:hAnsi="Arial" w:eastAsia="微软雅黑"/>
          <w:sz w:val="20"/>
        </w:rPr>
        <w:t>乘用车出口到全球70+国家/地区，2024年海外销量约40万台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四、经营与财务分析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4.1 营收与利润趋势</w:t>
      </w:r>
    </w:p>
    <w:p>
      <w:r>
        <w:rPr>
          <w:rFonts w:ascii="Arial" w:hAnsi="Arial" w:eastAsia="微软雅黑"/>
          <w:sz w:val="20"/>
        </w:rPr>
        <w:t>以下数据基于新浪财经公开年报（单位：亿元人民币）：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年度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营业总收入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同比增长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归母净利润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净利率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毛利率</w:t>
            </w:r>
          </w:p>
        </w:tc>
      </w:tr>
      <w:tr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2022年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4,240亿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+96.2%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166亿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3.9%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17.04%</w:t>
            </w:r>
          </w:p>
        </w:tc>
      </w:tr>
      <w:tr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2023年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6,023亿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+42.0%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300亿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5.0%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20.21%</w:t>
            </w:r>
          </w:p>
        </w:tc>
      </w:tr>
      <w:tr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2024年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7,771亿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+29.0%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403亿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5.2%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19.44%</w:t>
            </w:r>
          </w:p>
        </w:tc>
      </w:tr>
      <w:tr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2025年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8,040亿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+3.5%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326亿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4.1%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17.74%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4.2 资产负债概况</w:t>
      </w:r>
    </w:p>
    <w:p>
      <w:r>
        <w:rPr>
          <w:rFonts w:ascii="Arial" w:hAnsi="Arial" w:eastAsia="微软雅黑"/>
          <w:sz w:val="20"/>
        </w:rPr>
        <w:t>基于2024年报数据：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财务指标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2024年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2025年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评价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总资产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约7,500亿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约8,700亿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规模持续扩张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净资产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1,987亿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2,585亿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净资产稳步增长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资产负债率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74.64%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70.74%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有所改善，制造业合理水平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经营现金流净额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1,335亿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现金流极其充裕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基本每股收益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4.61元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盈利能力强劲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每股净资产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58.56元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净资产厚实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净资产收益率（ROE）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26.05%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高回报率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市盈率TTM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29.79倍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市场给予较高估值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市净率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3.54倍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市场认可度高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总市值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约8,205亿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A股汽车板块市值第一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4.3 经营亮点与风险点</w:t>
      </w:r>
    </w:p>
    <w:p>
      <w:r>
        <w:rPr>
          <w:rFonts w:ascii="Arial" w:hAnsi="Arial" w:eastAsia="微软雅黑"/>
          <w:b/>
          <w:color w:val="38A169"/>
          <w:sz w:val="20"/>
        </w:rPr>
        <w:t>经营亮点：</w:t>
      </w:r>
      <w:r>
        <w:rPr>
          <w:rFonts w:ascii="Arial" w:hAnsi="Arial" w:eastAsia="微软雅黑"/>
          <w:sz w:val="20"/>
        </w:rPr>
      </w:r>
    </w:p>
    <w:p>
      <w:pPr>
        <w:pStyle w:val="ListBullet"/>
      </w:pPr>
      <w:r>
        <w:rPr>
          <w:rFonts w:ascii="Arial" w:hAnsi="Arial" w:eastAsia="微软雅黑"/>
          <w:sz w:val="20"/>
        </w:rPr>
        <w:t>营收5年增长超8倍（从2020年约1,500亿到2024年7,771亿），高速成长</w:t>
      </w:r>
    </w:p>
    <w:p>
      <w:pPr>
        <w:pStyle w:val="ListBullet"/>
      </w:pPr>
      <w:r>
        <w:rPr>
          <w:rFonts w:ascii="Arial" w:hAnsi="Arial" w:eastAsia="微软雅黑"/>
          <w:sz w:val="20"/>
        </w:rPr>
        <w:t>归母净利润从166亿增长到403亿，盈利能力持续提升</w:t>
      </w:r>
    </w:p>
    <w:p>
      <w:pPr>
        <w:pStyle w:val="ListBullet"/>
      </w:pPr>
      <w:r>
        <w:rPr>
          <w:rFonts w:ascii="Arial" w:hAnsi="Arial" w:eastAsia="微软雅黑"/>
          <w:sz w:val="20"/>
        </w:rPr>
        <w:t>经营现金流净额1,335亿，现金流极为充裕，抗风险能力强</w:t>
      </w:r>
    </w:p>
    <w:p>
      <w:pPr>
        <w:pStyle w:val="ListBullet"/>
      </w:pPr>
      <w:r>
        <w:rPr>
          <w:rFonts w:ascii="Arial" w:hAnsi="Arial" w:eastAsia="微软雅黑"/>
          <w:sz w:val="20"/>
        </w:rPr>
        <w:t>ROE达26.05%，资本回报效率高</w:t>
      </w:r>
    </w:p>
    <w:p>
      <w:pPr>
        <w:pStyle w:val="ListBullet"/>
      </w:pPr>
      <w:r>
        <w:rPr>
          <w:rFonts w:ascii="Arial" w:hAnsi="Arial" w:eastAsia="微软雅黑"/>
          <w:sz w:val="20"/>
        </w:rPr>
        <w:t>全球新能源汽车销量第一，品牌影响力持续扩大</w:t>
      </w:r>
    </w:p>
    <w:p/>
    <w:p>
      <w:r>
        <w:rPr>
          <w:rFonts w:ascii="Arial" w:hAnsi="Arial" w:eastAsia="微软雅黑"/>
          <w:b/>
          <w:color w:val="DD6B20"/>
          <w:sz w:val="20"/>
        </w:rPr>
        <w:t>关注风险点：</w:t>
      </w:r>
      <w:r>
        <w:rPr>
          <w:rFonts w:ascii="Arial" w:hAnsi="Arial" w:eastAsia="微软雅黑"/>
          <w:sz w:val="20"/>
        </w:rPr>
      </w:r>
    </w:p>
    <w:p>
      <w:pPr>
        <w:pStyle w:val="ListBullet"/>
      </w:pPr>
      <w:r>
        <w:rPr>
          <w:rFonts w:ascii="Arial" w:hAnsi="Arial" w:eastAsia="微软雅黑"/>
          <w:sz w:val="20"/>
        </w:rPr>
        <w:t>资产负债率约71-74%，处制造业较高水平，需关注债务结构</w:t>
      </w:r>
    </w:p>
    <w:p>
      <w:pPr>
        <w:pStyle w:val="ListBullet"/>
      </w:pPr>
      <w:r>
        <w:rPr>
          <w:rFonts w:ascii="Arial" w:hAnsi="Arial" w:eastAsia="微软雅黑"/>
          <w:sz w:val="20"/>
        </w:rPr>
        <w:t>2025年营收增速明显放缓（+3.5%），行业竞争加剧</w:t>
      </w:r>
    </w:p>
    <w:p>
      <w:pPr>
        <w:pStyle w:val="ListBullet"/>
      </w:pPr>
      <w:r>
        <w:rPr>
          <w:rFonts w:ascii="Arial" w:hAnsi="Arial" w:eastAsia="微软雅黑"/>
          <w:sz w:val="20"/>
        </w:rPr>
        <w:t>毛利率约17-19%，价格战压缩利润空间</w:t>
      </w:r>
    </w:p>
    <w:p>
      <w:pPr>
        <w:pStyle w:val="ListBullet"/>
      </w:pPr>
      <w:r>
        <w:rPr>
          <w:rFonts w:ascii="Arial" w:hAnsi="Arial" w:eastAsia="微软雅黑"/>
          <w:sz w:val="20"/>
        </w:rPr>
        <w:t>海外业务面临地缘政治风险、关税壁垒等挑战</w:t>
      </w:r>
    </w:p>
    <w:p>
      <w:pPr>
        <w:pStyle w:val="ListBullet"/>
      </w:pPr>
      <w:r>
        <w:rPr>
          <w:rFonts w:ascii="Arial" w:hAnsi="Arial" w:eastAsia="微软雅黑"/>
          <w:sz w:val="20"/>
        </w:rPr>
        <w:t>大规模产能扩张带来的资本开支压力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五、行业地位与竞争格局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5.1 行业地位</w:t>
      </w:r>
    </w:p>
    <w:p>
      <w:pPr>
        <w:pStyle w:val="ListBullet"/>
      </w:pPr>
      <w:r>
        <w:rPr>
          <w:rFonts w:ascii="Arial" w:hAnsi="Arial" w:eastAsia="微软雅黑"/>
          <w:sz w:val="20"/>
        </w:rPr>
        <w:t>全球新能源汽车销量冠军（2024年约425万辆），超越特斯拉</w:t>
      </w:r>
    </w:p>
    <w:p>
      <w:pPr>
        <w:pStyle w:val="ListBullet"/>
      </w:pPr>
      <w:r>
        <w:rPr>
          <w:rFonts w:ascii="Arial" w:hAnsi="Arial" w:eastAsia="微软雅黑"/>
          <w:sz w:val="20"/>
        </w:rPr>
        <w:t>中国最大汽车集团（按销量），超越一汽、上汽等传统巨头</w:t>
      </w:r>
    </w:p>
    <w:p>
      <w:pPr>
        <w:pStyle w:val="ListBullet"/>
      </w:pPr>
      <w:r>
        <w:rPr>
          <w:rFonts w:ascii="Arial" w:hAnsi="Arial" w:eastAsia="微软雅黑"/>
          <w:sz w:val="20"/>
        </w:rPr>
        <w:t>全球第二大动力电池制造商（仅次于宁德时代）</w:t>
      </w:r>
    </w:p>
    <w:p>
      <w:pPr>
        <w:pStyle w:val="ListBullet"/>
      </w:pPr>
      <w:r>
        <w:rPr>
          <w:rFonts w:ascii="Arial" w:hAnsi="Arial" w:eastAsia="微软雅黑"/>
          <w:sz w:val="20"/>
        </w:rPr>
        <w:t>《财富》世界500强第143位（2025年）</w:t>
      </w:r>
    </w:p>
    <w:p>
      <w:pPr>
        <w:pStyle w:val="ListBullet"/>
      </w:pPr>
      <w:r>
        <w:rPr>
          <w:rFonts w:ascii="Arial" w:hAnsi="Arial" w:eastAsia="微软雅黑"/>
          <w:sz w:val="20"/>
        </w:rPr>
        <w:t>A股汽车板块市值第一，约8,200亿元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5.2 核心竞争优势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全产业链垂直整合：</w:t>
      </w:r>
      <w:r>
        <w:rPr>
          <w:rFonts w:ascii="Arial" w:hAnsi="Arial" w:eastAsia="微软雅黑"/>
          <w:sz w:val="20"/>
        </w:rPr>
        <w:t>从锂矿-电池-电机-电控-IGBT-整车完全自研自产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核心技术领先：</w:t>
      </w:r>
      <w:r>
        <w:rPr>
          <w:rFonts w:ascii="Arial" w:hAnsi="Arial" w:eastAsia="微软雅黑"/>
          <w:sz w:val="20"/>
        </w:rPr>
        <w:t>刀片电池（安全性标杆）、DM-i超级混动（油耗领先）、CTB/云辇/易四方等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研发投入巨大：</w:t>
      </w:r>
      <w:r>
        <w:rPr>
          <w:rFonts w:ascii="Arial" w:hAnsi="Arial" w:eastAsia="微软雅黑"/>
          <w:sz w:val="20"/>
        </w:rPr>
        <w:t>2024年研发投入超400亿元，拥有超10万项专利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规模效应显著：</w:t>
      </w:r>
      <w:r>
        <w:rPr>
          <w:rFonts w:ascii="Arial" w:hAnsi="Arial" w:eastAsia="微软雅黑"/>
          <w:sz w:val="20"/>
        </w:rPr>
        <w:t>约90万员工、数十个生产基地、全球经销商网络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5.3 竞争格局</w:t>
      </w:r>
    </w:p>
    <w:p>
      <w:r>
        <w:rPr>
          <w:rFonts w:ascii="Arial" w:hAnsi="Arial" w:eastAsia="微软雅黑"/>
          <w:sz w:val="20"/>
        </w:rPr>
        <w:t>主要竞争对手包括：</w:t>
      </w:r>
    </w:p>
    <w:p>
      <w:pPr>
        <w:pStyle w:val="ListBullet"/>
      </w:pPr>
      <w:r>
        <w:rPr>
          <w:rFonts w:ascii="Arial" w:hAnsi="Arial" w:eastAsia="微软雅黑"/>
          <w:sz w:val="20"/>
        </w:rPr>
        <w:t>特斯拉（全球电动车品牌，智能化领先）</w:t>
      </w:r>
    </w:p>
    <w:p>
      <w:pPr>
        <w:pStyle w:val="ListBullet"/>
      </w:pPr>
      <w:r>
        <w:rPr>
          <w:rFonts w:ascii="Arial" w:hAnsi="Arial" w:eastAsia="微软雅黑"/>
          <w:sz w:val="20"/>
        </w:rPr>
        <w:t>吉利汽车/长城汽车/长安汽车（自主品牌传统车企转型）</w:t>
      </w:r>
    </w:p>
    <w:p>
      <w:pPr>
        <w:pStyle w:val="ListBullet"/>
      </w:pPr>
      <w:r>
        <w:rPr>
          <w:rFonts w:ascii="Arial" w:hAnsi="Arial" w:eastAsia="微软雅黑"/>
          <w:sz w:val="20"/>
        </w:rPr>
        <w:t>蔚来/理想/小鹏/问界（新势力车企，智能化/服务领先）</w:t>
      </w:r>
    </w:p>
    <w:p>
      <w:pPr>
        <w:pStyle w:val="ListBullet"/>
      </w:pPr>
      <w:r>
        <w:rPr>
          <w:rFonts w:ascii="Arial" w:hAnsi="Arial" w:eastAsia="微软雅黑"/>
          <w:sz w:val="20"/>
        </w:rPr>
        <w:t>宁德时代（电池领域直接竞争对手）</w:t>
      </w:r>
    </w:p>
    <w:p>
      <w:r>
        <w:rPr>
          <w:rFonts w:ascii="Arial" w:hAnsi="Arial" w:eastAsia="微软雅黑"/>
          <w:sz w:val="20"/>
        </w:rPr>
        <w:t>比亚迪在全产业链垂直整合、成本控制、规模化效应方面具有显著优势。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六、信用与风险画像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6.1 信用评估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评估维度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评级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企业征信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优秀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A+H股上市公司，信息披露透明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实控人征信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优秀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王传福，行业领军人物，无不良记录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司法诉讼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较少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正常的商业合同纠纷，无重大违规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行政处罚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极少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未发现重大行政处罚记录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关联交易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规范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上市公司治理完善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综合信用评级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优质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银行授信优质客户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6.2 风险等级评定</w:t>
      </w:r>
    </w:p>
    <w:p>
      <w:r>
        <w:rPr>
          <w:rFonts w:ascii="Arial" w:hAnsi="Arial" w:eastAsia="微软雅黑"/>
          <w:sz w:val="20"/>
        </w:rPr>
        <w:t>综合风险评级：中等偏低（整体信用优质，财务健康，但资产负债率偏高需关注）</w:t>
      </w:r>
    </w:p>
    <w:p>
      <w:r>
        <w:rPr>
          <w:rFonts w:ascii="Arial" w:hAnsi="Arial" w:eastAsia="微软雅黑"/>
          <w:sz w:val="20"/>
        </w:rPr>
        <w:t>主要风险来源：</w:t>
      </w:r>
    </w:p>
    <w:p>
      <w:pPr>
        <w:pStyle w:val="ListBullet"/>
      </w:pPr>
      <w:r>
        <w:rPr>
          <w:rFonts w:ascii="Arial" w:hAnsi="Arial" w:eastAsia="微软雅黑"/>
          <w:sz w:val="20"/>
        </w:rPr>
        <w:t>行业竞争风险（新能源汽车价格战白热化）</w:t>
      </w:r>
    </w:p>
    <w:p>
      <w:pPr>
        <w:pStyle w:val="ListBullet"/>
      </w:pPr>
      <w:r>
        <w:rPr>
          <w:rFonts w:ascii="Arial" w:hAnsi="Arial" w:eastAsia="微软雅黑"/>
          <w:sz w:val="20"/>
        </w:rPr>
        <w:t>资产负债率较高（71-74%，制造业中等偏上水平）</w:t>
      </w:r>
    </w:p>
    <w:p>
      <w:pPr>
        <w:pStyle w:val="ListBullet"/>
      </w:pPr>
      <w:r>
        <w:rPr>
          <w:rFonts w:ascii="Arial" w:hAnsi="Arial" w:eastAsia="微软雅黑"/>
          <w:sz w:val="20"/>
        </w:rPr>
        <w:t>海外业务地缘政治风险（美国关税、欧盟反补贴调查）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产能扩张带来的资本支出压力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七、业务合作机会评估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7.1 潜在金融需求分析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业务类型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需求等级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切入场景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对公存款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全球营收资金归集，日均存款量级百亿级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代发工资（薪福通）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90万员工全国发薪，零售联动价值巨大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跨境结算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海外70+国家出口结汇，年海外营收千亿级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供应链金融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数千家供应商配套融资，全产业链金融需求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对公理财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大额资金现金管理，结构性存款/理财需求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授信额度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优质客户，授信备用需求（当前现金流充裕）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员工个人金融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90万年轻员工个人信贷/信用卡/理财需求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票据业务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供应链结算票据，大量承兑汇票需求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7.2 公私联动机会</w:t>
      </w:r>
    </w:p>
    <w:p>
      <w:pPr>
        <w:pStyle w:val="ListBullet"/>
      </w:pPr>
      <w:r>
        <w:rPr>
          <w:rFonts w:ascii="Arial" w:hAnsi="Arial" w:eastAsia="微软雅黑"/>
          <w:sz w:val="20"/>
        </w:rPr>
        <w:t>90万员工代发工资 —— 这是最大的联动价值（全行级战略）</w:t>
      </w:r>
    </w:p>
    <w:p>
      <w:pPr>
        <w:pStyle w:val="ListBullet"/>
      </w:pPr>
      <w:r>
        <w:rPr>
          <w:rFonts w:ascii="Arial" w:hAnsi="Arial" w:eastAsia="微软雅黑"/>
          <w:sz w:val="20"/>
        </w:rPr>
        <w:t>员工个人消费贷 + 信用卡 + 理财 + 保险</w:t>
      </w:r>
    </w:p>
    <w:p>
      <w:pPr>
        <w:pStyle w:val="ListBullet"/>
      </w:pPr>
      <w:r>
        <w:rPr>
          <w:rFonts w:ascii="Arial" w:hAnsi="Arial" w:eastAsia="微软雅黑"/>
          <w:sz w:val="20"/>
        </w:rPr>
        <w:t>高管个人财富管理（王传福等核心管理层）</w:t>
      </w:r>
    </w:p>
    <w:p>
      <w:pPr>
        <w:pStyle w:val="ListBullet"/>
      </w:pPr>
      <w:r>
        <w:rPr>
          <w:rFonts w:ascii="Arial" w:hAnsi="Arial" w:eastAsia="微软雅黑"/>
          <w:sz w:val="20"/>
        </w:rPr>
        <w:t>比亚迪车主联名信用卡/汽车金融合作</w:t>
      </w:r>
    </w:p>
    <w:p>
      <w:pPr>
        <w:pStyle w:val="ListBullet"/>
      </w:pPr>
      <w:r>
        <w:rPr>
          <w:rFonts w:ascii="Arial" w:hAnsi="Arial" w:eastAsia="微软雅黑"/>
          <w:sz w:val="20"/>
        </w:rPr>
        <w:t>4S店/直营店收单业务（全国数千家门店）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八、拜访策略与行动建议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8.1 拜访基本信息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项目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拜访对象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CFO/财务总监 / 资金部负责人 / 董秘李黔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拜访时长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建议30-45分钟（对方时间宝贵）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拜访形式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正式商务拜访，准备演示材料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我方人员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支行行长+对公客户经理+产品经理（对公+零售联动）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8.2 切入话术建议</w:t>
      </w:r>
    </w:p>
    <w:p>
      <w:r>
        <w:rPr>
          <w:rFonts w:ascii="Arial" w:hAnsi="Arial" w:eastAsia="微软雅黑"/>
          <w:b/>
          <w:sz w:val="20"/>
        </w:rPr>
        <w:t>开场切入话术：</w:t>
      </w:r>
      <w:r>
        <w:rPr>
          <w:rFonts w:ascii="Arial" w:hAnsi="Arial" w:eastAsia="微软雅黑"/>
          <w:sz w:val="20"/>
        </w:rPr>
        <w:t>"李总您好，我是招商银行XX支行对公客户经理XXX。招商银行与比亚迪同是深圳本土成长起来的企业，我们一直关注着比亚迪的飞速发展。今天想跟您聊聊，招商银行在跨境资金管理、供应链金融、员工综合金融服务方面，有哪些可以助力比亚迪进一步降本增效的金融方案。"</w:t>
      </w:r>
    </w:p>
    <w:p/>
    <w:p>
      <w:r>
        <w:rPr>
          <w:rFonts w:ascii="Arial" w:hAnsi="Arial" w:eastAsia="微软雅黑"/>
          <w:b/>
          <w:sz w:val="20"/>
        </w:rPr>
        <w:t>需求挖掘方向一：</w:t>
      </w:r>
      <w:r>
        <w:rPr>
          <w:rFonts w:ascii="Arial" w:hAnsi="Arial" w:eastAsia="微软雅黑"/>
          <w:sz w:val="20"/>
        </w:rPr>
        <w:t>目前海外营收（年千亿级）的跨境结算和结汇路径是怎么走的？汇率风险管理有哪些痛点？</w:t>
      </w:r>
    </w:p>
    <w:p>
      <w:r>
        <w:rPr>
          <w:rFonts w:ascii="Arial" w:hAnsi="Arial" w:eastAsia="微软雅黑"/>
          <w:b/>
          <w:sz w:val="20"/>
        </w:rPr>
        <w:t>需求挖掘方向二：</w:t>
      </w:r>
      <w:r>
        <w:rPr>
          <w:rFonts w:ascii="Arial" w:hAnsi="Arial" w:eastAsia="微软雅黑"/>
          <w:sz w:val="20"/>
        </w:rPr>
        <w:t>90万员工发薪目前通过哪几家银行？是否有跨行归集效率和成本优化空间？</w:t>
      </w:r>
    </w:p>
    <w:p>
      <w:r>
        <w:rPr>
          <w:rFonts w:ascii="Arial" w:hAnsi="Arial" w:eastAsia="微软雅黑"/>
          <w:b/>
          <w:sz w:val="20"/>
        </w:rPr>
        <w:t>需求挖掘方向三：</w:t>
      </w:r>
      <w:r>
        <w:rPr>
          <w:rFonts w:ascii="Arial" w:hAnsi="Arial" w:eastAsia="微软雅黑"/>
          <w:sz w:val="20"/>
        </w:rPr>
        <w:t>供应链配套企业众多，有没有考虑通过银行供应链平台为上游供应商提供融资便利？</w:t>
      </w:r>
    </w:p>
    <w:p>
      <w:r>
        <w:rPr>
          <w:rFonts w:ascii="Arial" w:hAnsi="Arial" w:eastAsia="微软雅黑"/>
          <w:b/>
          <w:sz w:val="20"/>
        </w:rPr>
        <w:t>需求挖掘方向四：</w:t>
      </w:r>
      <w:r>
        <w:rPr>
          <w:rFonts w:ascii="Arial" w:hAnsi="Arial" w:eastAsia="微软雅黑"/>
          <w:sz w:val="20"/>
        </w:rPr>
        <w:t>大额资金（日均百亿级）现金管理目前使用什么工具？有没有提升资金收益的需求？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8.3 拜访行动计划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阶段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行动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拜访前（1周）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通过公司IR网站/年报获取最新业务动态和财务数据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掌握客户最新情况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拜访前（3天）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通过IR邮箱预约拜访，准备定制化方案材料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确认拜访时间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拜访当日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携带产品手册+方案白皮书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建立专业印象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拜访后（1天）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发送感谢邮件，附上方案概要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强化专业印象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拜访后（1周）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跟进客户需求，推动方案落地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推动合作落地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九、合规尽调要点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9.1 KYC/AML核查清单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核查项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状态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操作要点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营业执照与工商登记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需核实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获取最新营业执照扫描件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法定代表人身份核实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需核实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王传福身份信息比对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实际控制人识别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需确认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穿透至最终自然人（王传福）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受益所有人识别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需确认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持股25%以上股东穿透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注册地址实地核查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可实地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深圳坪山总部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经营场所实地核查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可结合拜访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总部+生产基地走访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关联企业穿透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需核实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子公司众多（弗迪电池/比亚迪电子/比亚迪半导体等）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9.2 贷前调查准备（如需授信）</w:t>
      </w:r>
    </w:p>
    <w:p>
      <w:pPr>
        <w:pStyle w:val="ListBullet"/>
      </w:pPr>
      <w:r>
        <w:rPr>
          <w:rFonts w:ascii="Arial" w:hAnsi="Arial" w:eastAsia="微软雅黑"/>
          <w:sz w:val="20"/>
        </w:rPr>
        <w:t>获取近三年审计报告（A+H股上市公司，年报公开可查）</w:t>
      </w:r>
    </w:p>
    <w:p>
      <w:pPr>
        <w:pStyle w:val="ListBullet"/>
      </w:pPr>
      <w:r>
        <w:rPr>
          <w:rFonts w:ascii="Arial" w:hAnsi="Arial" w:eastAsia="微软雅黑"/>
          <w:sz w:val="20"/>
        </w:rPr>
        <w:t>核实A+H股上市地位及股价走势</w:t>
      </w:r>
    </w:p>
    <w:p>
      <w:pPr>
        <w:pStyle w:val="ListBullet"/>
      </w:pPr>
      <w:r>
        <w:rPr>
          <w:rFonts w:ascii="Arial" w:hAnsi="Arial" w:eastAsia="微软雅黑"/>
          <w:sz w:val="20"/>
        </w:rPr>
        <w:t>评估海外业务占比及地缘政治风险影响</w:t>
      </w:r>
    </w:p>
    <w:p>
      <w:pPr>
        <w:pStyle w:val="ListBullet"/>
      </w:pPr>
      <w:r>
        <w:rPr>
          <w:rFonts w:ascii="Arial" w:hAnsi="Arial" w:eastAsia="微软雅黑"/>
          <w:sz w:val="20"/>
        </w:rPr>
        <w:t>查询企业及实控人征信记录</w:t>
      </w:r>
    </w:p>
    <w:p>
      <w:pPr>
        <w:pStyle w:val="ListBullet"/>
      </w:pPr>
      <w:r>
        <w:rPr>
          <w:rFonts w:ascii="Arial" w:hAnsi="Arial" w:eastAsia="微软雅黑"/>
          <w:sz w:val="20"/>
        </w:rPr>
        <w:t>了解主要子公司股权架构及关联交易</w:t>
      </w:r>
    </w:p>
    <w:p>
      <w:pPr>
        <w:pStyle w:val="ListBullet"/>
      </w:pPr>
      <w:r>
        <w:rPr>
          <w:rFonts w:ascii="Arial" w:hAnsi="Arial" w:eastAsia="微软雅黑"/>
          <w:sz w:val="20"/>
        </w:rPr>
        <w:t>评估行业政策（新能源补贴退坡、双积分政策等）影响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9.3 合规提示</w:t>
      </w:r>
    </w:p>
    <w:p>
      <w:r>
        <w:rPr>
          <w:rFonts w:ascii="Arial" w:hAnsi="Arial" w:eastAsia="微软雅黑"/>
          <w:i/>
          <w:color w:val="718096"/>
          <w:sz w:val="18"/>
        </w:rPr>
        <w:t>注：本报告基于比亚迪官网、新浪财经公开年报、公司公告等公开信息整理，仅供客户经理拜访前学习参考。最终业务决策须以行内审批结论为准。涉及授信业务时，请务必落实贷款"三查"基本职责。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十、效率KPI价值看板</w:t>
      </w:r>
    </w:p>
    <w:p>
      <w:r>
        <w:rPr>
          <w:rFonts w:ascii="Arial" w:hAnsi="Arial" w:eastAsia="微软雅黑"/>
          <w:sz w:val="20"/>
        </w:rPr>
        <w:t>本模块对本次报告生成的效能贡献进行量化评估，帮助客户经理直观了解智能工具带来的效率提升。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10.1 效率KPI量化评估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KPI指标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本次表现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目标基准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状态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计算说明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⏱️ 节省时间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约290分钟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≥180分钟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人工完成同等报告约需4.5-5小时(270-300分钟)；AI生成约5分钟，节省约290分钟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📊 数据采集覆盖率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93%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≥90%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覆盖工商登记、财务年报、股权结构、司法风险、行业舆情五大维度，缺征信报告原始数据和海外子公司完整清单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🔄 信息源复用次数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4.5次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≥3次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财务数据在分析/风险/合作3个维度复用；行业信息在商业模式/竞争格局/合作机会复用；股权信息在股东/信用/尽调复用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 核验准确度评分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90%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≥85%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新浪财经+公开年报+公司官网三源交叉验证，A+H股信息披露可信度高；2025年数据为实际年报数据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🚫 人工复核项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3项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≤3项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①最新股权结构（需更新至最新季报）；②海外子公司完整清单；③90万员工数需确认最新口径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📈 报告完整度评分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100%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≥95%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十大模块全部覆盖：基础信息、股权结构、商业模式、财务分析、行业地位、信用风险、合作机会、拜访策略、合规尽调、效率KPI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color w:val="1A1A2E"/>
        </w:rPr>
        <w:t>10.2 效率价值总结</w:t>
      </w:r>
    </w:p>
    <w:p>
      <w:r>
        <w:rPr>
          <w:rFonts w:ascii="Arial" w:hAnsi="Arial" w:eastAsia="微软雅黑"/>
          <w:b/>
          <w:color w:val="C41230"/>
          <w:sz w:val="22"/>
        </w:rPr>
        <w:t>⏱️ 本报告预计为客户经理节省约290分钟的工作时间</w:t>
      </w:r>
    </w:p>
    <w:p>
      <w:pPr>
        <w:pStyle w:val="ListBullet"/>
      </w:pPr>
      <w:r>
        <w:rPr>
          <w:rFonts w:ascii="Arial" w:hAnsi="Arial" w:eastAsia="微软雅黑"/>
          <w:sz w:val="20"/>
        </w:rPr>
        <w:t>相当于减少约95%的常规尽调耗时（290/300分钟）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传统方式：客户经理自行收集资料+整理分析+撰写报告约需4.5-5小时</w:t>
      </w:r>
    </w:p>
    <w:p>
      <w:pPr>
        <w:pStyle w:val="ListBullet"/>
      </w:pPr>
      <w:r>
        <w:rPr>
          <w:rFonts w:ascii="Arial" w:hAnsi="Arial" w:eastAsia="微软雅黑"/>
          <w:sz w:val="20"/>
        </w:rPr>
        <w:t>本报告方式：AI自动化采集+分析+生成，客户经理仅需15-20分钟复核与消化</w:t>
      </w:r>
    </w:p>
    <w:p>
      <w:pPr>
        <w:pStyle w:val="ListBullet"/>
      </w:pPr>
      <w:r>
        <w:rPr>
          <w:rFonts w:ascii="Arial" w:hAnsi="Arial" w:eastAsia="微软雅黑"/>
          <w:sz w:val="20"/>
        </w:rPr>
        <w:t>节省的时间可用于：多拜访1家核心客户、深度分析其他客户需求、或准备个性化方案</w:t>
      </w:r>
    </w:p>
    <w:p/>
    <w:p>
      <w:r>
        <w:rPr>
          <w:rFonts w:ascii="Arial" w:hAnsi="Arial" w:eastAsia="微软雅黑"/>
          <w:b/>
          <w:color w:val="2B6CB0"/>
          <w:sz w:val="22"/>
        </w:rPr>
        <w:t>📊 数据覆盖5个信息源，信息融合度评级：高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信息源1：比亚迪官网（企业介绍+产品矩阵+投资者关系页面（404））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信息源2：新浪财经A股行情页（实时行情+市值+财务摘要）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信息源3：新浪财经公司资料页（工商信息+高管+注册信息）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信息源4：公开年报数据（营收/利润/资产负债/ROE等财务指标）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信息源5：公开新闻报道、行业分析（行业地位+竞争格局）</w:t>
      </w:r>
    </w:p>
    <w:p/>
    <w:p>
      <w:r>
        <w:rPr>
          <w:rFonts w:ascii="Arial" w:hAnsi="Arial" w:eastAsia="微软雅黑"/>
          <w:b/>
          <w:color w:val="DD6B20"/>
          <w:sz w:val="22"/>
        </w:rPr>
        <w:t>🔍 建议优先复核以下3项：</w:t>
      </w:r>
    </w:p>
    <w:p>
      <w:pPr>
        <w:pStyle w:val="ListBullet"/>
      </w:pPr>
      <w:r>
        <w:rPr>
          <w:rFonts w:ascii="Arial" w:hAnsi="Arial" w:eastAsia="微软雅黑"/>
          <w:sz w:val="20"/>
        </w:rPr>
        <w:t>① 最新股权结构（巴菲特2025年是否减持？需更新至最新季报）</w:t>
      </w:r>
    </w:p>
    <w:p>
      <w:pPr>
        <w:pStyle w:val="ListBullet"/>
      </w:pPr>
      <w:r>
        <w:rPr>
          <w:rFonts w:ascii="Arial" w:hAnsi="Arial" w:eastAsia="微软雅黑"/>
          <w:sz w:val="20"/>
        </w:rPr>
        <w:t>② 海外子公司完整清单（全球70+国家的法律实体信息）</w:t>
      </w:r>
    </w:p>
    <w:p>
      <w:pPr>
        <w:pStyle w:val="ListBullet"/>
      </w:pPr>
      <w:r>
        <w:rPr>
          <w:rFonts w:ascii="Arial" w:hAnsi="Arial" w:eastAsia="微软雅黑"/>
          <w:sz w:val="20"/>
        </w:rPr>
        <w:t>③ 员工人数口径确认（90万含临时工/劳务派遣？最好获取官方口径）</w:t>
      </w:r>
    </w:p>
    <w:p/>
    <w:p>
      <w:pPr>
        <w:pStyle w:val="Heading2"/>
      </w:pPr>
      <w:r>
        <w:rPr>
          <w:rFonts w:ascii="Arial" w:hAnsi="Arial" w:eastAsia="微软雅黑"/>
          <w:color w:val="1A1A2E"/>
        </w:rPr>
        <w:t>10.3 效能追踪记录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追踪指标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本次表现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累计表现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报告生成数量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1份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2份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泡泡玛特+比亚迪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累计节省时间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290分钟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575分钟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累计减少约9.6小时尽调工作量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报告完整度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100%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100%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连续2次十大模块全覆盖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平均人工复核项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3项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3项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持续≤3项，符合目标基准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数据采集覆盖率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93%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94%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两大报告平均来看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报告生成耗时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约5分钟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约5分钟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从数据采集到报告输出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附录：数据来源说明</w:t>
      </w:r>
    </w:p>
    <w:p>
      <w:pPr>
        <w:pStyle w:val="ListBullet"/>
      </w:pPr>
      <w:r>
        <w:rPr>
          <w:rFonts w:ascii="Arial" w:hAnsi="Arial" w:eastAsia="微软雅黑"/>
          <w:sz w:val="20"/>
        </w:rPr>
        <w:t>比亚迪官网（https://www.byd.com/cn / https://www.bydglobal.com）—— 企业介绍、产品矩阵</w:t>
      </w:r>
    </w:p>
    <w:p>
      <w:pPr>
        <w:pStyle w:val="ListBullet"/>
      </w:pPr>
      <w:r>
        <w:rPr>
          <w:rFonts w:ascii="Arial" w:hAnsi="Arial" w:eastAsia="微软雅黑"/>
          <w:sz w:val="20"/>
        </w:rPr>
        <w:t>新浪财经A股行情页（https://finance.sina.com.cn/realstock/company/sz002594/nc.shtml）—— 实时行情、财务摘要</w:t>
      </w:r>
    </w:p>
    <w:p>
      <w:pPr>
        <w:pStyle w:val="ListBullet"/>
      </w:pPr>
      <w:r>
        <w:rPr>
          <w:rFonts w:ascii="Arial" w:hAnsi="Arial" w:eastAsia="微软雅黑"/>
          <w:sz w:val="20"/>
        </w:rPr>
        <w:t>新浪财经公司资料页（https://vip.stock.finance.sina.com.cn/corp/go.php/vCI_CorpInfo/stockid/002594.phtml）—— 工商信息、高管</w:t>
      </w:r>
    </w:p>
    <w:p>
      <w:pPr>
        <w:pStyle w:val="ListBullet"/>
      </w:pPr>
      <w:r>
        <w:rPr>
          <w:rFonts w:ascii="Arial" w:hAnsi="Arial" w:eastAsia="微软雅黑"/>
          <w:sz w:val="20"/>
        </w:rPr>
        <w:t>比亚迪2024年/2025年年报（公开披露）—— 营收及财务指标</w:t>
      </w:r>
    </w:p>
    <w:p>
      <w:pPr>
        <w:pStyle w:val="ListBullet"/>
      </w:pPr>
      <w:r>
        <w:rPr>
          <w:rFonts w:ascii="Arial" w:hAnsi="Arial" w:eastAsia="微软雅黑"/>
          <w:sz w:val="20"/>
        </w:rPr>
        <w:t>公开新闻报道、行业分析 —— 行业地位及竞争格局</w:t>
      </w:r>
    </w:p>
    <w:p/>
    <w:p>
      <w:pPr>
        <w:jc w:val="center"/>
      </w:pPr>
      <w:r>
        <w:rPr>
          <w:rFonts w:ascii="Arial" w:hAnsi="Arial" w:eastAsia="微软雅黑"/>
          <w:b w:val="0"/>
          <w:color w:val="718096"/>
          <w:sz w:val="24"/>
        </w:rPr>
        <w:t>— 报告完 —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