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C8F24" w14:textId="77777777" w:rsidR="00A77B3E" w:rsidRDefault="00000000">
      <w:pPr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学习时一心多用的看法文本干预实验</w:t>
      </w:r>
    </w:p>
    <w:p w14:paraId="0419BE7C" w14:textId="780DC280" w:rsidR="00917F88" w:rsidRPr="000463A7" w:rsidRDefault="000463A7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000000">
        <w:rPr>
          <w:rFonts w:eastAsia="Times New Roman"/>
        </w:rPr>
        <w:t xml:space="preserve">. </w:t>
      </w:r>
      <w:r w:rsidR="00000000">
        <w:rPr>
          <w:rFonts w:ascii="PMingLiU" w:eastAsia="PMingLiU" w:hAnsi="PMingLiU" w:cs="PMingLiU"/>
        </w:rPr>
        <w:t>请根据你对下列说法的真实看法，评定你的相信程度。</w:t>
      </w:r>
      <w:r w:rsidR="00000000">
        <w:rPr>
          <w:rFonts w:eastAsia="Times New Roman"/>
        </w:rPr>
        <w:t xml:space="preserve">1 = </w:t>
      </w:r>
      <w:r w:rsidR="00000000">
        <w:rPr>
          <w:rFonts w:ascii="PMingLiU" w:eastAsia="PMingLiU" w:hAnsi="PMingLiU" w:cs="PMingLiU"/>
        </w:rPr>
        <w:t>完全不相信、</w:t>
      </w:r>
      <w:r w:rsidR="00000000">
        <w:rPr>
          <w:rFonts w:eastAsia="Times New Roman"/>
        </w:rPr>
        <w:t xml:space="preserve">2 = </w:t>
      </w:r>
      <w:r w:rsidR="00000000">
        <w:rPr>
          <w:rFonts w:ascii="PMingLiU" w:eastAsia="PMingLiU" w:hAnsi="PMingLiU" w:cs="PMingLiU"/>
        </w:rPr>
        <w:t>比较不相信、</w:t>
      </w:r>
      <w:r w:rsidR="00000000">
        <w:rPr>
          <w:rFonts w:eastAsia="Times New Roman"/>
        </w:rPr>
        <w:t xml:space="preserve">3 = </w:t>
      </w:r>
      <w:r w:rsidR="00000000">
        <w:rPr>
          <w:rFonts w:ascii="PMingLiU" w:eastAsia="PMingLiU" w:hAnsi="PMingLiU" w:cs="PMingLiU"/>
        </w:rPr>
        <w:t>有点不相信、</w:t>
      </w:r>
      <w:r w:rsidR="00000000">
        <w:rPr>
          <w:rFonts w:eastAsia="Times New Roman"/>
        </w:rPr>
        <w:t xml:space="preserve">4 = </w:t>
      </w:r>
      <w:r w:rsidR="00000000">
        <w:rPr>
          <w:rFonts w:ascii="PMingLiU" w:eastAsia="PMingLiU" w:hAnsi="PMingLiU" w:cs="PMingLiU"/>
        </w:rPr>
        <w:t>不确定、</w:t>
      </w:r>
      <w:r w:rsidR="00000000">
        <w:rPr>
          <w:rFonts w:eastAsia="Times New Roman"/>
        </w:rPr>
        <w:t xml:space="preserve">5 = </w:t>
      </w:r>
      <w:r w:rsidR="00000000">
        <w:rPr>
          <w:rFonts w:ascii="PMingLiU" w:eastAsia="PMingLiU" w:hAnsi="PMingLiU" w:cs="PMingLiU"/>
        </w:rPr>
        <w:t>有点相信、</w:t>
      </w:r>
      <w:r w:rsidR="00000000">
        <w:rPr>
          <w:rFonts w:eastAsia="Times New Roman"/>
        </w:rPr>
        <w:t xml:space="preserve">6 = </w:t>
      </w:r>
      <w:r w:rsidR="00000000">
        <w:rPr>
          <w:rFonts w:ascii="PMingLiU" w:eastAsia="PMingLiU" w:hAnsi="PMingLiU" w:cs="PMingLiU"/>
        </w:rPr>
        <w:t>比较相信、</w:t>
      </w:r>
      <w:r w:rsidR="00000000">
        <w:rPr>
          <w:rFonts w:eastAsia="Times New Roman"/>
        </w:rPr>
        <w:t xml:space="preserve">7 = </w:t>
      </w:r>
      <w:r w:rsidR="00000000">
        <w:rPr>
          <w:rFonts w:ascii="PMingLiU" w:eastAsia="PMingLiU" w:hAnsi="PMingLiU" w:cs="PMingLiU"/>
        </w:rPr>
        <w:t>完全相信</w:t>
      </w:r>
    </w:p>
    <w:tbl>
      <w:tblPr>
        <w:tblW w:w="5000" w:type="pct"/>
        <w:tblBorders>
          <w:top w:val="single" w:sz="4" w:space="0" w:color="D7D7D7"/>
          <w:left w:val="single" w:sz="4" w:space="0" w:color="D7D7D7"/>
          <w:bottom w:val="single" w:sz="4" w:space="0" w:color="D7D7D7"/>
          <w:right w:val="single" w:sz="4" w:space="0" w:color="D7D7D7"/>
          <w:insideH w:val="single" w:sz="4" w:space="0" w:color="D7D7D7"/>
          <w:insideV w:val="single" w:sz="4" w:space="0" w:color="D7D7D7"/>
        </w:tblBorders>
        <w:tblLayout w:type="fixed"/>
        <w:tblCellMar>
          <w:top w:w="140" w:type="dxa"/>
        </w:tblCellMar>
        <w:tblLook w:val="04A0" w:firstRow="1" w:lastRow="0" w:firstColumn="1" w:lastColumn="0" w:noHBand="0" w:noVBand="1"/>
      </w:tblPr>
      <w:tblGrid>
        <w:gridCol w:w="1270"/>
        <w:gridCol w:w="1083"/>
        <w:gridCol w:w="1083"/>
        <w:gridCol w:w="1084"/>
        <w:gridCol w:w="1084"/>
        <w:gridCol w:w="1084"/>
        <w:gridCol w:w="1084"/>
        <w:gridCol w:w="1084"/>
      </w:tblGrid>
      <w:tr w:rsidR="00917F88" w14:paraId="5DDBF640" w14:textId="77777777">
        <w:trPr>
          <w:trHeight w:val="360"/>
        </w:trPr>
        <w:tc>
          <w:tcPr>
            <w:tcW w:w="1200" w:type="dxa"/>
            <w:shd w:val="clear" w:color="auto" w:fill="D9E5ED"/>
            <w:vAlign w:val="center"/>
          </w:tcPr>
          <w:p w14:paraId="6AAD502B" w14:textId="77777777" w:rsidR="00917F88" w:rsidRDefault="00917F88">
            <w:pPr>
              <w:jc w:val="center"/>
            </w:pPr>
          </w:p>
        </w:tc>
        <w:tc>
          <w:tcPr>
            <w:tcW w:w="1023" w:type="dxa"/>
            <w:shd w:val="clear" w:color="auto" w:fill="D9E5ED"/>
            <w:vAlign w:val="center"/>
          </w:tcPr>
          <w:p w14:paraId="15E97982" w14:textId="77777777" w:rsidR="00917F88" w:rsidRDefault="00000000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38E73BAE" w14:textId="77777777" w:rsidR="00917F88" w:rsidRDefault="00000000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19E958AE" w14:textId="77777777" w:rsidR="00917F88" w:rsidRDefault="00000000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27FBD637" w14:textId="77777777" w:rsidR="00917F88" w:rsidRDefault="00000000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0355CF01" w14:textId="77777777" w:rsidR="00917F88" w:rsidRDefault="00000000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0DF316BC" w14:textId="77777777" w:rsidR="00917F88" w:rsidRDefault="00000000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1023" w:type="dxa"/>
            <w:shd w:val="clear" w:color="auto" w:fill="D9E5ED"/>
            <w:vAlign w:val="center"/>
          </w:tcPr>
          <w:p w14:paraId="41BBD4B5" w14:textId="77777777" w:rsidR="00917F88" w:rsidRDefault="00000000">
            <w:pPr>
              <w:spacing w:line="360" w:lineRule="auto"/>
              <w:jc w:val="center"/>
            </w:pPr>
            <w:r>
              <w:t>7</w:t>
            </w:r>
          </w:p>
        </w:tc>
      </w:tr>
      <w:tr w:rsidR="00917F88" w14:paraId="567F214E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5A82CE90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学习时适度一心多用，有时能让我在紧张和放松之间取得平衡，而不一定影响效率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73B57E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AA93BB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9640DA0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E6BBDE5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660BCF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83DB06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1A588D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435AEC56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662D839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学习时只要一心多用，就一定会降低学习效率，不存在例外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B1DA13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ABF0D7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E73FDD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2DD4398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D77040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9E3146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793922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516D804B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122976F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在某些情况下，学习中穿插其他轻度</w:t>
            </w:r>
            <w:r>
              <w:rPr>
                <w:rFonts w:ascii="PMingLiU" w:eastAsia="PMingLiU" w:hAnsi="PMingLiU" w:cs="PMingLiU"/>
              </w:rPr>
              <w:lastRenderedPageBreak/>
              <w:t>活动，可能有助于缓解疲劳并维持学习状态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BC66FEC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6C08A6C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38B3B5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F700D8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8C32811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1E4E6F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57DAD48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7160D882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0DF8E9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学习效率主要取决于是否专注单一任务，一心多用通常只会带来干扰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B6F2747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242AD95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309D7F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BAFDADB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46BDB2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8C3279C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1D3473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35235461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B5EDBE7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如果一心多用的内容不会过度分散注意力，它未必会妨碍学习任务的完成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126FD50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FD0E271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B8BF6F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38E73EB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B01C075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D412A48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8000DE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59A0DDA5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2768DCE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无论一心多用的形式和程度如何，它都会削弱</w:t>
            </w:r>
            <w:r>
              <w:rPr>
                <w:rFonts w:ascii="PMingLiU" w:eastAsia="PMingLiU" w:hAnsi="PMingLiU" w:cs="PMingLiU"/>
              </w:rPr>
              <w:lastRenderedPageBreak/>
              <w:t>学习效果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CEECD8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04F7E7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4B2C37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90277CA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EBA5101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CC27E4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C73982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618D08AC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0B63D5B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对有些人来说，学习时适当切换或搭配其他活动，可能反而更容易坚持学习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00B827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499AC2F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366F587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8A0F14B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155A8F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4E3F894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7681830A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39B32C19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7A929A01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只要在学习过程中做别的事情，学习效率基本都会下降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652B0B4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F5D7B63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00536CD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1B825E54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3696C2B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E67A9E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9EED01F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5EAEA749" w14:textId="77777777">
        <w:trPr>
          <w:trHeight w:val="360"/>
        </w:trPr>
        <w:tc>
          <w:tcPr>
            <w:tcW w:w="1200" w:type="dxa"/>
            <w:shd w:val="clear" w:color="auto" w:fill="FFFFFF"/>
            <w:vAlign w:val="center"/>
          </w:tcPr>
          <w:p w14:paraId="29AF9812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学习时一心多用的影响，往往取决于具体方式和任务类型，而不是一定有害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5069ADF9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1441595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BFCACBA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177B2CDF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6B75290F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08B515EF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FFFFFF"/>
            <w:vAlign w:val="center"/>
          </w:tcPr>
          <w:p w14:paraId="261715D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  <w:tr w:rsidR="00917F88" w14:paraId="10198F77" w14:textId="77777777">
        <w:trPr>
          <w:trHeight w:val="360"/>
        </w:trPr>
        <w:tc>
          <w:tcPr>
            <w:tcW w:w="1200" w:type="dxa"/>
            <w:shd w:val="clear" w:color="auto" w:fill="EFF6FB"/>
            <w:vAlign w:val="center"/>
          </w:tcPr>
          <w:p w14:paraId="6D5479DA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rFonts w:ascii="PMingLiU" w:eastAsia="PMingLiU" w:hAnsi="PMingLiU" w:cs="PMingLiU"/>
              </w:rPr>
              <w:t>把学习中</w:t>
            </w:r>
            <w:r>
              <w:rPr>
                <w:rFonts w:ascii="PMingLiU" w:eastAsia="PMingLiU" w:hAnsi="PMingLiU" w:cs="PMingLiU"/>
              </w:rPr>
              <w:lastRenderedPageBreak/>
              <w:t>的一心多用理解为一种劳逸结合，通常只是为分心找借口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5CD39455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lastRenderedPageBreak/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BEE6FB3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53FF24E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413F70BA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39D479F8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2757F63D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  <w:tc>
          <w:tcPr>
            <w:tcW w:w="1023" w:type="dxa"/>
            <w:shd w:val="clear" w:color="auto" w:fill="EFF6FB"/>
            <w:vAlign w:val="center"/>
          </w:tcPr>
          <w:p w14:paraId="748E3F26" w14:textId="77777777" w:rsidR="00917F88" w:rsidRDefault="00000000">
            <w:pPr>
              <w:spacing w:line="360" w:lineRule="auto"/>
              <w:jc w:val="center"/>
              <w:rPr>
                <w:color w:val="333333"/>
              </w:rPr>
            </w:pPr>
            <w:r>
              <w:rPr>
                <w:color w:val="333333"/>
              </w:rPr>
              <w:t>○</w:t>
            </w:r>
          </w:p>
        </w:tc>
      </w:tr>
    </w:tbl>
    <w:p w14:paraId="592C5698" w14:textId="77777777" w:rsidR="00917F88" w:rsidRDefault="00917F88" w:rsidP="000463A7"/>
    <w:sectPr w:rsidR="00917F8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463A7"/>
    <w:rsid w:val="005649ED"/>
    <w:rsid w:val="00917F88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916A29"/>
  <w15:docId w15:val="{4DC5971C-254A-49F8-A463-DCEE8277F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坤泽 李</cp:lastModifiedBy>
  <cp:revision>2</cp:revision>
  <dcterms:created xsi:type="dcterms:W3CDTF">2026-09-26T08:29:00Z</dcterms:created>
  <dcterms:modified xsi:type="dcterms:W3CDTF">2026-09-26T08:30:00Z</dcterms:modified>
</cp:coreProperties>
</file>