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left"/>
      </w:pPr>
      <w:r>
        <w:rPr>
          <w:rFonts w:ascii="Arial" w:hAnsi="Arial"/>
          <w:b w:val="0"/>
          <w:i w:val="0"/>
          <w:color w:val="4A5568"/>
          <w:sz w:val="22"/>
        </w:rPr>
        <w:t>Santiago Garces Chavarria</w:t>
      </w:r>
    </w:p>
    <w:p>
      <w:pPr>
        <w:spacing w:after="120"/>
        <w:jc w:val="left"/>
      </w:pPr>
      <w:r>
        <w:rPr>
          <w:rFonts w:ascii="Arial" w:hAnsi="Arial"/>
          <w:b/>
          <w:i w:val="0"/>
          <w:color w:val="1A2332"/>
          <w:sz w:val="48"/>
        </w:rPr>
        <w:t>Building an AI-Powered Document Routing System</w:t>
      </w:r>
    </w:p>
    <w:p>
      <w:pPr>
        <w:spacing w:after="320"/>
      </w:pPr>
      <w:r>
        <w:rPr>
          <w:rFonts w:ascii="Arial" w:hAnsi="Arial"/>
          <w:b w:val="0"/>
          <w:i w:val="0"/>
          <w:color w:val="2C5282"/>
          <w:sz w:val="24"/>
        </w:rPr>
        <w:t>97%+ assignment accuracy and 24+ hours saved weekly in a regulated financial environment</w:t>
      </w:r>
    </w:p>
    <w:tbl>
      <w:tblPr>
        <w:tblW w:type="auto" w:w="0"/>
        <w:jc w:val="left"/>
        <w:tblLook w:firstColumn="1" w:firstRow="1" w:lastColumn="0" w:lastRow="0" w:noHBand="0" w:noVBand="1" w:val="04A0"/>
      </w:tblPr>
      <w:tblGrid>
        <w:gridCol w:w="3312"/>
        <w:gridCol w:w="3312"/>
        <w:gridCol w:w="3312"/>
      </w:tblGrid>
      <w:tr>
        <w:tc>
          <w:tcPr>
            <w:tcW w:type="dxa" w:w="3312"/>
            <w:shd w:fill="F7FAFC"/>
            <w:tcBorders>
              <w:left w:sz="6" w:val="single" w:color="E2E8F0"/>
              <w:top w:sz="6" w:val="single" w:color="E2E8F0"/>
              <w:right w:sz="6" w:val="single" w:color="E2E8F0"/>
              <w:bottom w:sz="6" w:val="single" w:color="E2E8F0"/>
            </w:tcBorders>
          </w:tcPr>
          <w:p>
            <w:pPr>
              <w:jc w:val="center"/>
            </w:pPr>
            <w:r>
              <w:rPr>
                <w:rFonts w:ascii="Arial" w:hAnsi="Arial"/>
                <w:b/>
                <w:i w:val="0"/>
                <w:color w:val="1A2332"/>
                <w:sz w:val="19"/>
              </w:rPr>
              <w:t>Anonymized real work</w:t>
            </w:r>
          </w:p>
        </w:tc>
        <w:tc>
          <w:tcPr>
            <w:tcW w:type="dxa" w:w="3312"/>
            <w:shd w:fill="F7FAFC"/>
            <w:tcBorders>
              <w:left w:sz="6" w:val="single" w:color="E2E8F0"/>
              <w:top w:sz="6" w:val="single" w:color="E2E8F0"/>
              <w:right w:sz="6" w:val="single" w:color="E2E8F0"/>
              <w:bottom w:sz="6" w:val="single" w:color="E2E8F0"/>
            </w:tcBorders>
          </w:tcPr>
          <w:p>
            <w:pPr>
              <w:jc w:val="center"/>
            </w:pPr>
            <w:r>
              <w:rPr>
                <w:rFonts w:ascii="Arial" w:hAnsi="Arial"/>
                <w:b/>
                <w:i w:val="0"/>
                <w:color w:val="1A2332"/>
                <w:sz w:val="19"/>
              </w:rPr>
              <w:t>Operations leaders | founders | audit-heavy teams</w:t>
            </w:r>
          </w:p>
        </w:tc>
        <w:tc>
          <w:tcPr>
            <w:tcW w:type="dxa" w:w="3312"/>
            <w:shd w:fill="F7FAFC"/>
            <w:tcBorders>
              <w:left w:sz="6" w:val="single" w:color="E2E8F0"/>
              <w:top w:sz="6" w:val="single" w:color="E2E8F0"/>
              <w:right w:sz="6" w:val="single" w:color="E2E8F0"/>
              <w:bottom w:sz="6" w:val="single" w:color="E2E8F0"/>
            </w:tcBorders>
          </w:tcPr>
          <w:p>
            <w:pPr>
              <w:jc w:val="center"/>
            </w:pPr>
            <w:r>
              <w:rPr>
                <w:rFonts w:ascii="Arial" w:hAnsi="Arial"/>
                <w:b/>
                <w:i w:val="0"/>
                <w:color w:val="1A2332"/>
                <w:sz w:val="19"/>
              </w:rPr>
              <w:t>AI Workflow Case Study</w:t>
            </w:r>
          </w:p>
        </w:tc>
      </w:tr>
    </w:tbl>
    <w:p/>
    <w:tbl>
      <w:tblPr>
        <w:tblW w:type="auto" w:w="0"/>
        <w:jc w:val="center"/>
        <w:tblLayout w:type="autofit"/>
        <w:tblLook w:firstColumn="1" w:firstRow="1" w:lastColumn="0" w:lastRow="0" w:noHBand="0" w:noVBand="1" w:val="04A0"/>
      </w:tblPr>
      <w:tblGrid>
        <w:gridCol w:w="4968"/>
        <w:gridCol w:w="4968"/>
      </w:tblGrid>
      <w:tr>
        <w:tc>
          <w:tcPr>
            <w:tcW w:type="dxa" w:w="4968"/>
            <w:shd w:fill="1A2332"/>
            <w:tcBorders>
              <w:left w:sz="6" w:val="single" w:color="D9E2EC"/>
              <w:top w:sz="6" w:val="single" w:color="D9E2EC"/>
              <w:right w:sz="6" w:val="single" w:color="D9E2EC"/>
              <w:bottom w:sz="6" w:val="single" w:color="D9E2EC"/>
            </w:tcBorders>
          </w:tcPr>
          <w:p>
            <w:pPr>
              <w:spacing w:after="0"/>
              <w:jc w:val="center"/>
            </w:pPr>
            <w:r/>
            <w:r>
              <w:rPr>
                <w:rFonts w:ascii="Arial" w:hAnsi="Arial"/>
                <w:b/>
                <w:i w:val="0"/>
                <w:color w:val="FFFFFF"/>
                <w:sz w:val="18"/>
              </w:rPr>
              <w:t>PROOF</w:t>
            </w:r>
          </w:p>
        </w:tc>
        <w:tc>
          <w:tcPr>
            <w:tcW w:type="dxa" w:w="4968"/>
            <w:shd w:fill="F7FAFC"/>
            <w:tcBorders>
              <w:left w:sz="6" w:val="single" w:color="D9E2EC"/>
              <w:top w:sz="6" w:val="single" w:color="D9E2EC"/>
              <w:right w:sz="6" w:val="single" w:color="D9E2EC"/>
              <w:bottom w:sz="6" w:val="single" w:color="D9E2EC"/>
            </w:tcBorders>
          </w:tcPr>
          <w:p>
            <w:pPr>
              <w:spacing w:after="0"/>
            </w:pPr>
            <w:r/>
            <w:r>
              <w:rPr>
                <w:rFonts w:ascii="Arial" w:hAnsi="Arial"/>
                <w:b/>
                <w:i w:val="0"/>
                <w:color w:val="1A2332"/>
                <w:sz w:val="23"/>
              </w:rPr>
              <w:t>657+ audit requirements processed</w:t>
            </w:r>
            <w:r>
              <w:br/>
            </w:r>
            <w:r>
              <w:rPr>
                <w:rFonts w:ascii="Arial" w:hAnsi="Arial"/>
                <w:b w:val="0"/>
                <w:i w:val="0"/>
                <w:color w:val="4A5568"/>
                <w:sz w:val="19"/>
              </w:rPr>
              <w:t>Regulated financial-services operating context</w:t>
            </w:r>
          </w:p>
        </w:tc>
      </w:tr>
    </w:tbl>
    <w:p/>
    <w:p>
      <w:pPr>
        <w:spacing w:before="200" w:after="120"/>
      </w:pPr>
      <w:r>
        <w:rPr>
          <w:rFonts w:ascii="Arial" w:hAnsi="Arial"/>
          <w:b/>
          <w:color w:val="2C5282"/>
          <w:sz w:val="27"/>
        </w:rPr>
        <w:t>Executive Summary</w:t>
      </w:r>
    </w:p>
    <w:p>
      <w:pPr>
        <w:spacing w:after="120"/>
      </w:pPr>
      <w:r>
        <w:rPr>
          <w:rFonts w:ascii="Arial" w:hAnsi="Arial"/>
          <w:b w:val="0"/>
          <w:i w:val="0"/>
          <w:color w:val="1A202C"/>
          <w:sz w:val="21"/>
        </w:rPr>
        <w:t>A regulated financial-services environment was processing more than 650 audit requirements annually through a manual classification and routing workflow. The legacy process consumed senior staff time, introduced inconsistency, and slowed response cycles under external audit pressure.</w:t>
      </w:r>
    </w:p>
    <w:p>
      <w:pPr>
        <w:spacing w:after="120"/>
      </w:pPr>
      <w:r>
        <w:rPr>
          <w:rFonts w:ascii="Arial" w:hAnsi="Arial"/>
          <w:b w:val="0"/>
          <w:i w:val="0"/>
          <w:color w:val="1A202C"/>
          <w:sz w:val="21"/>
        </w:rPr>
        <w:t>I designed a multi-agent workflow that combined LLM-based classification, rule-based routing, and confidence-based validation. The result reduced processing time from 15 to 20 minutes per item to roughly 30 to 45 seconds, raised assignment accuracy above 97%, and reduced misroutes to below 3%.</w:t>
      </w:r>
    </w:p>
    <w:p>
      <w:pPr>
        <w:spacing w:after="120"/>
      </w:pPr>
      <w:r>
        <w:rPr>
          <w:rFonts w:ascii="Arial" w:hAnsi="Arial"/>
          <w:b w:val="0"/>
          <w:i w:val="0"/>
          <w:color w:val="1A202C"/>
          <w:sz w:val="21"/>
        </w:rPr>
        <w:t>The commercial relevance is straightforward: faster response cycles, cleaner accountability, lower operating friction, and a process architecture that can extend into compliance triage, support routing, and document intake.</w:t>
      </w:r>
    </w:p>
    <w:p>
      <w:pPr>
        <w:spacing w:before="200" w:after="120"/>
      </w:pPr>
      <w:r>
        <w:rPr>
          <w:rFonts w:ascii="Arial" w:hAnsi="Arial"/>
          <w:b/>
          <w:color w:val="2C5282"/>
          <w:sz w:val="27"/>
        </w:rPr>
        <w:t>Problem Context</w:t>
      </w:r>
    </w:p>
    <w:p>
      <w:pPr>
        <w:spacing w:after="120"/>
      </w:pPr>
      <w:r>
        <w:rPr>
          <w:rFonts w:ascii="Arial" w:hAnsi="Arial"/>
          <w:b w:val="0"/>
          <w:i w:val="0"/>
          <w:color w:val="1A202C"/>
          <w:sz w:val="21"/>
        </w:rPr>
        <w:t>The operating environment required rapid handling of PwC fiscal audit requirements spanning legal, finance, and operations. Each item needed to be categorized, prioritized, and routed to the correct owner with minimal delay.</w:t>
      </w:r>
    </w:p>
    <w:p>
      <w:pPr>
        <w:spacing w:after="120"/>
      </w:pPr>
      <w:r>
        <w:rPr>
          <w:rFonts w:ascii="Arial" w:hAnsi="Arial"/>
          <w:b w:val="0"/>
          <w:i w:val="0"/>
          <w:color w:val="1A202C"/>
          <w:sz w:val="21"/>
        </w:rPr>
        <w:t>The manual process was costly because it delegated high-volume sorting work to experienced personnel rather than reserving their time for judgment-heavy tasks.</w:t>
      </w:r>
    </w:p>
    <w:p>
      <w:pPr>
        <w:pStyle w:val="ListBullet"/>
        <w:spacing w:after="60"/>
      </w:pPr>
      <w:r>
        <w:rPr>
          <w:rFonts w:ascii="Arial" w:hAnsi="Arial"/>
          <w:b w:val="0"/>
          <w:i w:val="0"/>
          <w:color w:val="1A202C"/>
          <w:sz w:val="21"/>
        </w:rPr>
        <w:t>24+ staff hours consumed every week on mechanical classification and forwarding</w:t>
      </w:r>
    </w:p>
    <w:p>
      <w:pPr>
        <w:pStyle w:val="ListBullet"/>
        <w:spacing w:after="60"/>
      </w:pPr>
      <w:r>
        <w:rPr>
          <w:rFonts w:ascii="Arial" w:hAnsi="Arial"/>
          <w:b w:val="0"/>
          <w:i w:val="0"/>
          <w:color w:val="1A202C"/>
          <w:sz w:val="21"/>
        </w:rPr>
        <w:t>Inconsistent categorization across similar requirements</w:t>
      </w:r>
    </w:p>
    <w:p>
      <w:pPr>
        <w:pStyle w:val="ListBullet"/>
        <w:spacing w:after="60"/>
      </w:pPr>
      <w:r>
        <w:rPr>
          <w:rFonts w:ascii="Arial" w:hAnsi="Arial"/>
          <w:b w:val="0"/>
          <w:i w:val="0"/>
          <w:color w:val="1A202C"/>
          <w:sz w:val="21"/>
        </w:rPr>
        <w:t>Escalation and rework when items were misrouted or delayed</w:t>
      </w:r>
    </w:p>
    <w:p>
      <w:pPr>
        <w:pStyle w:val="ListBullet"/>
        <w:spacing w:after="60"/>
      </w:pPr>
      <w:r>
        <w:rPr>
          <w:rFonts w:ascii="Arial" w:hAnsi="Arial"/>
          <w:b w:val="0"/>
          <w:i w:val="0"/>
          <w:color w:val="1A202C"/>
          <w:sz w:val="21"/>
        </w:rPr>
        <w:t>Scalability risk as requirement volumes increased</w:t>
      </w:r>
    </w:p>
    <w:p>
      <w:pPr>
        <w:spacing w:before="200" w:after="120"/>
      </w:pPr>
      <w:r>
        <w:rPr>
          <w:rFonts w:ascii="Arial" w:hAnsi="Arial"/>
          <w:b/>
          <w:color w:val="2C5282"/>
          <w:sz w:val="27"/>
        </w:rPr>
        <w:t>Solution Design</w:t>
      </w:r>
    </w:p>
    <w:p>
      <w:pPr>
        <w:spacing w:after="120"/>
      </w:pPr>
      <w:r>
        <w:rPr>
          <w:rFonts w:ascii="Arial" w:hAnsi="Arial"/>
          <w:b w:val="0"/>
          <w:i w:val="0"/>
          <w:color w:val="1A202C"/>
          <w:sz w:val="21"/>
        </w:rPr>
        <w:t>The system architecture used a three-layer design. A classification agent interpreted raw requirement text and extracted key signals. A routing layer mapped the classified item to the accountable function. A validation layer enforced confidence thresholds and reserved human review for ambiguous cases.</w:t>
      </w:r>
    </w:p>
    <w:p>
      <w:pPr>
        <w:pStyle w:val="ListBullet"/>
        <w:spacing w:after="60"/>
      </w:pPr>
      <w:r>
        <w:rPr>
          <w:rFonts w:ascii="Arial" w:hAnsi="Arial"/>
          <w:b w:val="0"/>
          <w:i w:val="0"/>
          <w:color w:val="1A202C"/>
          <w:sz w:val="21"/>
        </w:rPr>
        <w:t>Primary classification with Claude API using few-shot examples</w:t>
      </w:r>
    </w:p>
    <w:p>
      <w:pPr>
        <w:pStyle w:val="ListBullet"/>
        <w:spacing w:after="60"/>
      </w:pPr>
      <w:r>
        <w:rPr>
          <w:rFonts w:ascii="Arial" w:hAnsi="Arial"/>
          <w:b w:val="0"/>
          <w:i w:val="0"/>
          <w:color w:val="1A202C"/>
          <w:sz w:val="21"/>
        </w:rPr>
        <w:t>Secondary validation and entity extraction with OpenAI API</w:t>
      </w:r>
    </w:p>
    <w:p>
      <w:pPr>
        <w:pStyle w:val="ListBullet"/>
        <w:spacing w:after="60"/>
      </w:pPr>
      <w:r>
        <w:rPr>
          <w:rFonts w:ascii="Arial" w:hAnsi="Arial"/>
          <w:b w:val="0"/>
          <w:i w:val="0"/>
          <w:color w:val="1A202C"/>
          <w:sz w:val="21"/>
        </w:rPr>
        <w:t>Python orchestration layer for routing logic and audit logging</w:t>
      </w:r>
    </w:p>
    <w:p>
      <w:pPr>
        <w:pStyle w:val="ListBullet"/>
        <w:spacing w:after="60"/>
      </w:pPr>
      <w:r>
        <w:rPr>
          <w:rFonts w:ascii="Arial" w:hAnsi="Arial"/>
          <w:b w:val="0"/>
          <w:i w:val="0"/>
          <w:color w:val="1A202C"/>
          <w:sz w:val="21"/>
        </w:rPr>
        <w:t>Google Sheets routing matrix to preserve business-user editability</w:t>
      </w:r>
    </w:p>
    <w:p>
      <w:pPr>
        <w:pStyle w:val="ListBullet"/>
        <w:spacing w:after="60"/>
      </w:pPr>
      <w:r>
        <w:rPr>
          <w:rFonts w:ascii="Arial" w:hAnsi="Arial"/>
          <w:b w:val="0"/>
          <w:i w:val="0"/>
          <w:color w:val="1A202C"/>
          <w:sz w:val="21"/>
        </w:rPr>
        <w:t>Automated email notification for owner assignment and escalation</w:t>
      </w:r>
    </w:p>
    <w:p>
      <w:pPr>
        <w:spacing w:before="200" w:after="120"/>
      </w:pPr>
      <w:r>
        <w:rPr>
          <w:rFonts w:ascii="Arial" w:hAnsi="Arial"/>
          <w:b/>
          <w:color w:val="2C5282"/>
          <w:sz w:val="27"/>
        </w:rPr>
        <w:t>Performance Snapshot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A2332"/>
            <w:vAlign w:val="center"/>
            <w:tcBorders>
              <w:left w:sz="6" w:val="single" w:color="D9E2EC"/>
              <w:top w:sz="6" w:val="single" w:color="D9E2EC"/>
              <w:right w:sz="6" w:val="single" w:color="D9E2EC"/>
              <w:bottom w:sz="6" w:val="single" w:color="D9E2EC"/>
            </w:tcBorders>
          </w:tcPr>
          <w:p>
            <w:pPr>
              <w:jc w:val="center"/>
            </w:pPr>
            <w:r/>
            <w:r>
              <w:rPr>
                <w:rFonts w:ascii="Arial" w:hAnsi="Arial"/>
                <w:b/>
                <w:i w:val="0"/>
                <w:color w:val="FFFFFF"/>
                <w:sz w:val="19"/>
              </w:rPr>
              <w:t>Metric</w:t>
            </w:r>
          </w:p>
        </w:tc>
        <w:tc>
          <w:tcPr>
            <w:tcW w:type="dxa" w:w="2484"/>
            <w:shd w:fill="1A2332"/>
            <w:vAlign w:val="center"/>
            <w:tcBorders>
              <w:left w:sz="6" w:val="single" w:color="D9E2EC"/>
              <w:top w:sz="6" w:val="single" w:color="D9E2EC"/>
              <w:right w:sz="6" w:val="single" w:color="D9E2EC"/>
              <w:bottom w:sz="6" w:val="single" w:color="D9E2EC"/>
            </w:tcBorders>
          </w:tcPr>
          <w:p>
            <w:pPr>
              <w:jc w:val="center"/>
            </w:pPr>
            <w:r/>
            <w:r>
              <w:rPr>
                <w:rFonts w:ascii="Arial" w:hAnsi="Arial"/>
                <w:b/>
                <w:i w:val="0"/>
                <w:color w:val="FFFFFF"/>
                <w:sz w:val="19"/>
              </w:rPr>
              <w:t>Before</w:t>
            </w:r>
          </w:p>
        </w:tc>
        <w:tc>
          <w:tcPr>
            <w:tcW w:type="dxa" w:w="2484"/>
            <w:shd w:fill="1A2332"/>
            <w:vAlign w:val="center"/>
            <w:tcBorders>
              <w:left w:sz="6" w:val="single" w:color="D9E2EC"/>
              <w:top w:sz="6" w:val="single" w:color="D9E2EC"/>
              <w:right w:sz="6" w:val="single" w:color="D9E2EC"/>
              <w:bottom w:sz="6" w:val="single" w:color="D9E2EC"/>
            </w:tcBorders>
          </w:tcPr>
          <w:p>
            <w:pPr>
              <w:jc w:val="center"/>
            </w:pPr>
            <w:r/>
            <w:r>
              <w:rPr>
                <w:rFonts w:ascii="Arial" w:hAnsi="Arial"/>
                <w:b/>
                <w:i w:val="0"/>
                <w:color w:val="FFFFFF"/>
                <w:sz w:val="19"/>
              </w:rPr>
              <w:t>After</w:t>
            </w:r>
          </w:p>
        </w:tc>
        <w:tc>
          <w:tcPr>
            <w:tcW w:type="dxa" w:w="2484"/>
            <w:shd w:fill="1A2332"/>
            <w:vAlign w:val="center"/>
            <w:tcBorders>
              <w:left w:sz="6" w:val="single" w:color="D9E2EC"/>
              <w:top w:sz="6" w:val="single" w:color="D9E2EC"/>
              <w:right w:sz="6" w:val="single" w:color="D9E2EC"/>
              <w:bottom w:sz="6" w:val="single" w:color="D9E2EC"/>
            </w:tcBorders>
          </w:tcPr>
          <w:p>
            <w:pPr>
              <w:jc w:val="center"/>
            </w:pPr>
            <w:r/>
            <w:r>
              <w:rPr>
                <w:rFonts w:ascii="Arial" w:hAnsi="Arial"/>
                <w:b/>
                <w:i w:val="0"/>
                <w:color w:val="FFFFFF"/>
                <w:sz w:val="19"/>
              </w:rPr>
              <w:t>Business Effect</w:t>
            </w:r>
          </w:p>
        </w:tc>
      </w:tr>
      <w:tr>
        <w:tc>
          <w:tcPr>
            <w:tcW w:type="dxa" w:w="2484"/>
            <w:shd w:fill="F7FAFC"/>
            <w:tcBorders>
              <w:left w:sz="6" w:val="single" w:color="D9E2EC"/>
              <w:top w:sz="6" w:val="single" w:color="D9E2EC"/>
              <w:right w:sz="6" w:val="single" w:color="D9E2EC"/>
              <w:bottom w:sz="6" w:val="single" w:color="D9E2EC"/>
            </w:tcBorders>
          </w:tcPr>
          <w:p>
            <w:pPr>
              <w:jc w:val="center"/>
            </w:pPr>
            <w:r/>
            <w:r>
              <w:rPr>
                <w:rFonts w:ascii="Arial" w:hAnsi="Arial"/>
                <w:b w:val="0"/>
                <w:i w:val="0"/>
                <w:color w:val="1A202C"/>
                <w:sz w:val="19"/>
              </w:rPr>
              <w:t>Processing time per item</w:t>
            </w:r>
          </w:p>
        </w:tc>
        <w:tc>
          <w:tcPr>
            <w:tcW w:type="dxa" w:w="2484"/>
            <w:shd w:fill="F7FAFC"/>
            <w:tcBorders>
              <w:left w:sz="6" w:val="single" w:color="D9E2EC"/>
              <w:top w:sz="6" w:val="single" w:color="D9E2EC"/>
              <w:right w:sz="6" w:val="single" w:color="D9E2EC"/>
              <w:bottom w:sz="6" w:val="single" w:color="D9E2EC"/>
            </w:tcBorders>
          </w:tcPr>
          <w:p>
            <w:pPr>
              <w:jc w:val="left"/>
            </w:pPr>
            <w:r/>
            <w:r>
              <w:rPr>
                <w:rFonts w:ascii="Arial" w:hAnsi="Arial"/>
                <w:b w:val="0"/>
                <w:i w:val="0"/>
                <w:color w:val="1A202C"/>
                <w:sz w:val="19"/>
              </w:rPr>
              <w:t>15–20 min</w:t>
            </w:r>
          </w:p>
        </w:tc>
        <w:tc>
          <w:tcPr>
            <w:tcW w:type="dxa" w:w="2484"/>
            <w:shd w:fill="F7FAFC"/>
            <w:tcBorders>
              <w:left w:sz="6" w:val="single" w:color="D9E2EC"/>
              <w:top w:sz="6" w:val="single" w:color="D9E2EC"/>
              <w:right w:sz="6" w:val="single" w:color="D9E2EC"/>
              <w:bottom w:sz="6" w:val="single" w:color="D9E2EC"/>
            </w:tcBorders>
          </w:tcPr>
          <w:p>
            <w:pPr>
              <w:jc w:val="left"/>
            </w:pPr>
            <w:r/>
            <w:r>
              <w:rPr>
                <w:rFonts w:ascii="Arial" w:hAnsi="Arial"/>
                <w:b w:val="0"/>
                <w:i w:val="0"/>
                <w:color w:val="1A202C"/>
                <w:sz w:val="19"/>
              </w:rPr>
              <w:t>30–45 sec</w:t>
            </w:r>
          </w:p>
        </w:tc>
        <w:tc>
          <w:tcPr>
            <w:tcW w:type="dxa" w:w="2484"/>
            <w:shd w:fill="F7FAFC"/>
            <w:tcBorders>
              <w:left w:sz="6" w:val="single" w:color="D9E2EC"/>
              <w:top w:sz="6" w:val="single" w:color="D9E2EC"/>
              <w:right w:sz="6" w:val="single" w:color="D9E2EC"/>
              <w:bottom w:sz="6" w:val="single" w:color="D9E2EC"/>
            </w:tcBorders>
          </w:tcPr>
          <w:p>
            <w:pPr>
              <w:jc w:val="left"/>
            </w:pPr>
            <w:r/>
            <w:r>
              <w:rPr>
                <w:rFonts w:ascii="Arial" w:hAnsi="Arial"/>
                <w:b w:val="0"/>
                <w:i w:val="0"/>
                <w:color w:val="1A202C"/>
                <w:sz w:val="19"/>
              </w:rPr>
              <w:t>Faster intake and shorter cycle time</w:t>
            </w:r>
          </w:p>
        </w:tc>
      </w:tr>
      <w:tr>
        <w:tc>
          <w:tcPr>
            <w:tcW w:type="dxa" w:w="2484"/>
            <w:tcBorders>
              <w:left w:sz="6" w:val="single" w:color="D9E2EC"/>
              <w:top w:sz="6" w:val="single" w:color="D9E2EC"/>
              <w:right w:sz="6" w:val="single" w:color="D9E2EC"/>
              <w:bottom w:sz="6" w:val="single" w:color="D9E2EC"/>
            </w:tcBorders>
          </w:tcPr>
          <w:p>
            <w:pPr>
              <w:jc w:val="center"/>
            </w:pPr>
            <w:r/>
            <w:r>
              <w:rPr>
                <w:rFonts w:ascii="Arial" w:hAnsi="Arial"/>
                <w:b w:val="0"/>
                <w:i w:val="0"/>
                <w:color w:val="1A202C"/>
                <w:sz w:val="19"/>
              </w:rPr>
              <w:t>Weekly staff hours</w:t>
            </w:r>
          </w:p>
        </w:tc>
        <w:tc>
          <w:tcPr>
            <w:tcW w:type="dxa" w:w="2484"/>
            <w:tcBorders>
              <w:left w:sz="6" w:val="single" w:color="D9E2EC"/>
              <w:top w:sz="6" w:val="single" w:color="D9E2EC"/>
              <w:right w:sz="6" w:val="single" w:color="D9E2EC"/>
              <w:bottom w:sz="6" w:val="single" w:color="D9E2EC"/>
            </w:tcBorders>
          </w:tcPr>
          <w:p>
            <w:pPr>
              <w:jc w:val="left"/>
            </w:pPr>
            <w:r/>
            <w:r>
              <w:rPr>
                <w:rFonts w:ascii="Arial" w:hAnsi="Arial"/>
                <w:b w:val="0"/>
                <w:i w:val="0"/>
                <w:color w:val="1A202C"/>
                <w:sz w:val="19"/>
              </w:rPr>
              <w:t>24+ hrs</w:t>
            </w:r>
          </w:p>
        </w:tc>
        <w:tc>
          <w:tcPr>
            <w:tcW w:type="dxa" w:w="2484"/>
            <w:tcBorders>
              <w:left w:sz="6" w:val="single" w:color="D9E2EC"/>
              <w:top w:sz="6" w:val="single" w:color="D9E2EC"/>
              <w:right w:sz="6" w:val="single" w:color="D9E2EC"/>
              <w:bottom w:sz="6" w:val="single" w:color="D9E2EC"/>
            </w:tcBorders>
          </w:tcPr>
          <w:p>
            <w:pPr>
              <w:jc w:val="left"/>
            </w:pPr>
            <w:r/>
            <w:r>
              <w:rPr>
                <w:rFonts w:ascii="Arial" w:hAnsi="Arial"/>
                <w:b w:val="0"/>
                <w:i w:val="0"/>
                <w:color w:val="1A202C"/>
                <w:sz w:val="19"/>
              </w:rPr>
              <w:t>&lt;2 hrs</w:t>
            </w:r>
          </w:p>
        </w:tc>
        <w:tc>
          <w:tcPr>
            <w:tcW w:type="dxa" w:w="2484"/>
            <w:tcBorders>
              <w:left w:sz="6" w:val="single" w:color="D9E2EC"/>
              <w:top w:sz="6" w:val="single" w:color="D9E2EC"/>
              <w:right w:sz="6" w:val="single" w:color="D9E2EC"/>
              <w:bottom w:sz="6" w:val="single" w:color="D9E2EC"/>
            </w:tcBorders>
          </w:tcPr>
          <w:p>
            <w:pPr>
              <w:jc w:val="left"/>
            </w:pPr>
            <w:r/>
            <w:r>
              <w:rPr>
                <w:rFonts w:ascii="Arial" w:hAnsi="Arial"/>
                <w:b w:val="0"/>
                <w:i w:val="0"/>
                <w:color w:val="1A202C"/>
                <w:sz w:val="19"/>
              </w:rPr>
              <w:t>Senior time reallocated to higher-value work</w:t>
            </w:r>
          </w:p>
        </w:tc>
      </w:tr>
      <w:tr>
        <w:tc>
          <w:tcPr>
            <w:tcW w:type="dxa" w:w="2484"/>
            <w:shd w:fill="F7FAFC"/>
            <w:tcBorders>
              <w:left w:sz="6" w:val="single" w:color="D9E2EC"/>
              <w:top w:sz="6" w:val="single" w:color="D9E2EC"/>
              <w:right w:sz="6" w:val="single" w:color="D9E2EC"/>
              <w:bottom w:sz="6" w:val="single" w:color="D9E2EC"/>
            </w:tcBorders>
          </w:tcPr>
          <w:p>
            <w:pPr>
              <w:jc w:val="center"/>
            </w:pPr>
            <w:r/>
            <w:r>
              <w:rPr>
                <w:rFonts w:ascii="Arial" w:hAnsi="Arial"/>
                <w:b w:val="0"/>
                <w:i w:val="0"/>
                <w:color w:val="1A202C"/>
                <w:sz w:val="19"/>
              </w:rPr>
              <w:t>Classification accuracy</w:t>
            </w:r>
          </w:p>
        </w:tc>
        <w:tc>
          <w:tcPr>
            <w:tcW w:type="dxa" w:w="2484"/>
            <w:shd w:fill="F7FAFC"/>
            <w:tcBorders>
              <w:left w:sz="6" w:val="single" w:color="D9E2EC"/>
              <w:top w:sz="6" w:val="single" w:color="D9E2EC"/>
              <w:right w:sz="6" w:val="single" w:color="D9E2EC"/>
              <w:bottom w:sz="6" w:val="single" w:color="D9E2EC"/>
            </w:tcBorders>
          </w:tcPr>
          <w:p>
            <w:pPr>
              <w:jc w:val="left"/>
            </w:pPr>
            <w:r/>
            <w:r>
              <w:rPr>
                <w:rFonts w:ascii="Arial" w:hAnsi="Arial"/>
                <w:b w:val="0"/>
                <w:i w:val="0"/>
                <w:color w:val="1A202C"/>
                <w:sz w:val="19"/>
              </w:rPr>
              <w:t>~88%</w:t>
            </w:r>
          </w:p>
        </w:tc>
        <w:tc>
          <w:tcPr>
            <w:tcW w:type="dxa" w:w="2484"/>
            <w:shd w:fill="F7FAFC"/>
            <w:tcBorders>
              <w:left w:sz="6" w:val="single" w:color="D9E2EC"/>
              <w:top w:sz="6" w:val="single" w:color="D9E2EC"/>
              <w:right w:sz="6" w:val="single" w:color="D9E2EC"/>
              <w:bottom w:sz="6" w:val="single" w:color="D9E2EC"/>
            </w:tcBorders>
          </w:tcPr>
          <w:p>
            <w:pPr>
              <w:jc w:val="left"/>
            </w:pPr>
            <w:r/>
            <w:r>
              <w:rPr>
                <w:rFonts w:ascii="Arial" w:hAnsi="Arial"/>
                <w:b w:val="0"/>
                <w:i w:val="0"/>
                <w:color w:val="1A202C"/>
                <w:sz w:val="19"/>
              </w:rPr>
              <w:t>97%+</w:t>
            </w:r>
          </w:p>
        </w:tc>
        <w:tc>
          <w:tcPr>
            <w:tcW w:type="dxa" w:w="2484"/>
            <w:shd w:fill="F7FAFC"/>
            <w:tcBorders>
              <w:left w:sz="6" w:val="single" w:color="D9E2EC"/>
              <w:top w:sz="6" w:val="single" w:color="D9E2EC"/>
              <w:right w:sz="6" w:val="single" w:color="D9E2EC"/>
              <w:bottom w:sz="6" w:val="single" w:color="D9E2EC"/>
            </w:tcBorders>
          </w:tcPr>
          <w:p>
            <w:pPr>
              <w:jc w:val="left"/>
            </w:pPr>
            <w:r/>
            <w:r>
              <w:rPr>
                <w:rFonts w:ascii="Arial" w:hAnsi="Arial"/>
                <w:b w:val="0"/>
                <w:i w:val="0"/>
                <w:color w:val="1A202C"/>
                <w:sz w:val="19"/>
              </w:rPr>
              <w:t>Lower error rate and stronger consistency</w:t>
            </w:r>
          </w:p>
        </w:tc>
      </w:tr>
      <w:tr>
        <w:tc>
          <w:tcPr>
            <w:tcW w:type="dxa" w:w="2484"/>
            <w:tcBorders>
              <w:left w:sz="6" w:val="single" w:color="D9E2EC"/>
              <w:top w:sz="6" w:val="single" w:color="D9E2EC"/>
              <w:right w:sz="6" w:val="single" w:color="D9E2EC"/>
              <w:bottom w:sz="6" w:val="single" w:color="D9E2EC"/>
            </w:tcBorders>
          </w:tcPr>
          <w:p>
            <w:pPr>
              <w:jc w:val="center"/>
            </w:pPr>
            <w:r/>
            <w:r>
              <w:rPr>
                <w:rFonts w:ascii="Arial" w:hAnsi="Arial"/>
                <w:b w:val="0"/>
                <w:i w:val="0"/>
                <w:color w:val="1A202C"/>
                <w:sz w:val="19"/>
              </w:rPr>
              <w:t>Misroute escalation rate</w:t>
            </w:r>
          </w:p>
        </w:tc>
        <w:tc>
          <w:tcPr>
            <w:tcW w:type="dxa" w:w="2484"/>
            <w:tcBorders>
              <w:left w:sz="6" w:val="single" w:color="D9E2EC"/>
              <w:top w:sz="6" w:val="single" w:color="D9E2EC"/>
              <w:right w:sz="6" w:val="single" w:color="D9E2EC"/>
              <w:bottom w:sz="6" w:val="single" w:color="D9E2EC"/>
            </w:tcBorders>
          </w:tcPr>
          <w:p>
            <w:pPr>
              <w:jc w:val="left"/>
            </w:pPr>
            <w:r/>
            <w:r>
              <w:rPr>
                <w:rFonts w:ascii="Arial" w:hAnsi="Arial"/>
                <w:b w:val="0"/>
                <w:i w:val="0"/>
                <w:color w:val="1A202C"/>
                <w:sz w:val="19"/>
              </w:rPr>
              <w:t>~12%</w:t>
            </w:r>
          </w:p>
        </w:tc>
        <w:tc>
          <w:tcPr>
            <w:tcW w:type="dxa" w:w="2484"/>
            <w:tcBorders>
              <w:left w:sz="6" w:val="single" w:color="D9E2EC"/>
              <w:top w:sz="6" w:val="single" w:color="D9E2EC"/>
              <w:right w:sz="6" w:val="single" w:color="D9E2EC"/>
              <w:bottom w:sz="6" w:val="single" w:color="D9E2EC"/>
            </w:tcBorders>
          </w:tcPr>
          <w:p>
            <w:pPr>
              <w:jc w:val="left"/>
            </w:pPr>
            <w:r/>
            <w:r>
              <w:rPr>
                <w:rFonts w:ascii="Arial" w:hAnsi="Arial"/>
                <w:b w:val="0"/>
                <w:i w:val="0"/>
                <w:color w:val="1A202C"/>
                <w:sz w:val="19"/>
              </w:rPr>
              <w:t>&lt;3%</w:t>
            </w:r>
          </w:p>
        </w:tc>
        <w:tc>
          <w:tcPr>
            <w:tcW w:type="dxa" w:w="2484"/>
            <w:tcBorders>
              <w:left w:sz="6" w:val="single" w:color="D9E2EC"/>
              <w:top w:sz="6" w:val="single" w:color="D9E2EC"/>
              <w:right w:sz="6" w:val="single" w:color="D9E2EC"/>
              <w:bottom w:sz="6" w:val="single" w:color="D9E2EC"/>
            </w:tcBorders>
          </w:tcPr>
          <w:p>
            <w:pPr>
              <w:jc w:val="left"/>
            </w:pPr>
            <w:r/>
            <w:r>
              <w:rPr>
                <w:rFonts w:ascii="Arial" w:hAnsi="Arial"/>
                <w:b w:val="0"/>
                <w:i w:val="0"/>
                <w:color w:val="1A202C"/>
                <w:sz w:val="19"/>
              </w:rPr>
              <w:t>Less rework and fewer handoff failures</w:t>
            </w:r>
          </w:p>
        </w:tc>
      </w:tr>
      <w:tr>
        <w:tc>
          <w:tcPr>
            <w:tcW w:type="dxa" w:w="2484"/>
            <w:shd w:fill="F7FAFC"/>
            <w:tcBorders>
              <w:left w:sz="6" w:val="single" w:color="D9E2EC"/>
              <w:top w:sz="6" w:val="single" w:color="D9E2EC"/>
              <w:right w:sz="6" w:val="single" w:color="D9E2EC"/>
              <w:bottom w:sz="6" w:val="single" w:color="D9E2EC"/>
            </w:tcBorders>
          </w:tcPr>
          <w:p>
            <w:pPr>
              <w:jc w:val="center"/>
            </w:pPr>
            <w:r/>
            <w:r>
              <w:rPr>
                <w:rFonts w:ascii="Arial" w:hAnsi="Arial"/>
                <w:b w:val="0"/>
                <w:i w:val="0"/>
                <w:color w:val="1A202C"/>
                <w:sz w:val="19"/>
              </w:rPr>
              <w:t>Response time to requirements</w:t>
            </w:r>
          </w:p>
        </w:tc>
        <w:tc>
          <w:tcPr>
            <w:tcW w:type="dxa" w:w="2484"/>
            <w:shd w:fill="F7FAFC"/>
            <w:tcBorders>
              <w:left w:sz="6" w:val="single" w:color="D9E2EC"/>
              <w:top w:sz="6" w:val="single" w:color="D9E2EC"/>
              <w:right w:sz="6" w:val="single" w:color="D9E2EC"/>
              <w:bottom w:sz="6" w:val="single" w:color="D9E2EC"/>
            </w:tcBorders>
          </w:tcPr>
          <w:p>
            <w:pPr>
              <w:jc w:val="left"/>
            </w:pPr>
            <w:r/>
            <w:r>
              <w:rPr>
                <w:rFonts w:ascii="Arial" w:hAnsi="Arial"/>
                <w:b w:val="0"/>
                <w:i w:val="0"/>
                <w:color w:val="1A202C"/>
                <w:sz w:val="19"/>
              </w:rPr>
              <w:t>24–48 hrs</w:t>
            </w:r>
          </w:p>
        </w:tc>
        <w:tc>
          <w:tcPr>
            <w:tcW w:type="dxa" w:w="2484"/>
            <w:shd w:fill="F7FAFC"/>
            <w:tcBorders>
              <w:left w:sz="6" w:val="single" w:color="D9E2EC"/>
              <w:top w:sz="6" w:val="single" w:color="D9E2EC"/>
              <w:right w:sz="6" w:val="single" w:color="D9E2EC"/>
              <w:bottom w:sz="6" w:val="single" w:color="D9E2EC"/>
            </w:tcBorders>
          </w:tcPr>
          <w:p>
            <w:pPr>
              <w:jc w:val="left"/>
            </w:pPr>
            <w:r/>
            <w:r>
              <w:rPr>
                <w:rFonts w:ascii="Arial" w:hAnsi="Arial"/>
                <w:b w:val="0"/>
                <w:i w:val="0"/>
                <w:color w:val="1A202C"/>
                <w:sz w:val="19"/>
              </w:rPr>
              <w:t>&lt;4 hrs</w:t>
            </w:r>
          </w:p>
        </w:tc>
        <w:tc>
          <w:tcPr>
            <w:tcW w:type="dxa" w:w="2484"/>
            <w:shd w:fill="F7FAFC"/>
            <w:tcBorders>
              <w:left w:sz="6" w:val="single" w:color="D9E2EC"/>
              <w:top w:sz="6" w:val="single" w:color="D9E2EC"/>
              <w:right w:sz="6" w:val="single" w:color="D9E2EC"/>
              <w:bottom w:sz="6" w:val="single" w:color="D9E2EC"/>
            </w:tcBorders>
          </w:tcPr>
          <w:p>
            <w:pPr>
              <w:jc w:val="left"/>
            </w:pPr>
            <w:r/>
            <w:r>
              <w:rPr>
                <w:rFonts w:ascii="Arial" w:hAnsi="Arial"/>
                <w:b w:val="0"/>
                <w:i w:val="0"/>
                <w:color w:val="1A202C"/>
                <w:sz w:val="19"/>
              </w:rPr>
              <w:t>Reduced audit friction</w:t>
            </w:r>
          </w:p>
        </w:tc>
      </w:tr>
    </w:tbl>
    <w:p/>
    <w:p>
      <w:pPr>
        <w:spacing w:before="200" w:after="120"/>
      </w:pPr>
      <w:r>
        <w:rPr>
          <w:rFonts w:ascii="Arial" w:hAnsi="Arial"/>
          <w:b/>
          <w:color w:val="2C5282"/>
          <w:sz w:val="27"/>
        </w:rPr>
        <w:t>Why the Architecture Worked</w:t>
      </w:r>
    </w:p>
    <w:p>
      <w:pPr>
        <w:pStyle w:val="ListBullet"/>
        <w:spacing w:after="60"/>
      </w:pPr>
      <w:r>
        <w:rPr>
          <w:rFonts w:ascii="Arial" w:hAnsi="Arial"/>
          <w:b w:val="0"/>
          <w:i w:val="0"/>
          <w:color w:val="1A202C"/>
          <w:sz w:val="21"/>
        </w:rPr>
        <w:t>The routing matrix externalized business logic, so ownership changes did not require code changes.</w:t>
      </w:r>
    </w:p>
    <w:p>
      <w:pPr>
        <w:pStyle w:val="ListBullet"/>
        <w:spacing w:after="60"/>
      </w:pPr>
      <w:r>
        <w:rPr>
          <w:rFonts w:ascii="Arial" w:hAnsi="Arial"/>
          <w:b w:val="0"/>
          <w:i w:val="0"/>
          <w:color w:val="1A202C"/>
          <w:sz w:val="21"/>
        </w:rPr>
        <w:t>Confidence thresholds preserved control by separating routine items from genuinely ambiguous requirements.</w:t>
      </w:r>
    </w:p>
    <w:p>
      <w:pPr>
        <w:pStyle w:val="ListBullet"/>
        <w:spacing w:after="60"/>
      </w:pPr>
      <w:r>
        <w:rPr>
          <w:rFonts w:ascii="Arial" w:hAnsi="Arial"/>
          <w:b w:val="0"/>
          <w:i w:val="0"/>
          <w:color w:val="1A202C"/>
          <w:sz w:val="21"/>
        </w:rPr>
        <w:t>The workflow produced an auditable trail, which is critical in regulated settings.</w:t>
      </w:r>
    </w:p>
    <w:p>
      <w:pPr>
        <w:pStyle w:val="ListBullet"/>
        <w:spacing w:after="60"/>
      </w:pPr>
      <w:r>
        <w:rPr>
          <w:rFonts w:ascii="Arial" w:hAnsi="Arial"/>
          <w:b w:val="0"/>
          <w:i w:val="0"/>
          <w:color w:val="1A202C"/>
          <w:sz w:val="21"/>
        </w:rPr>
        <w:t>The system attacked the narrowest bottleneck first: intake and assignment.</w:t>
      </w:r>
    </w:p>
    <w:p>
      <w:pPr>
        <w:spacing w:before="200" w:after="120"/>
      </w:pPr>
      <w:r>
        <w:rPr>
          <w:rFonts w:ascii="Arial" w:hAnsi="Arial"/>
          <w:b/>
          <w:color w:val="2C5282"/>
          <w:sz w:val="27"/>
        </w:rPr>
        <w:t>Transferability</w:t>
      </w:r>
    </w:p>
    <w:p>
      <w:pPr>
        <w:spacing w:after="120"/>
      </w:pPr>
      <w:r>
        <w:rPr>
          <w:rFonts w:ascii="Arial" w:hAnsi="Arial"/>
          <w:b w:val="0"/>
          <w:i w:val="0"/>
          <w:color w:val="1A202C"/>
          <w:sz w:val="21"/>
        </w:rPr>
        <w:t>This structure is portable. The same pattern can be used for support ticket triage, compliance document processing, legal intake, customer-request categorization, and internal control workflows where queue hygiene affects response quality.</w:t>
      </w:r>
    </w:p>
    <w:p>
      <w:pPr>
        <w:pStyle w:val="ListBullet"/>
        <w:spacing w:after="60"/>
      </w:pPr>
      <w:r>
        <w:rPr>
          <w:rFonts w:ascii="Arial" w:hAnsi="Arial"/>
          <w:b w:val="0"/>
          <w:i w:val="0"/>
          <w:color w:val="1A202C"/>
          <w:sz w:val="21"/>
        </w:rPr>
        <w:t>High-volume document or request routing</w:t>
      </w:r>
    </w:p>
    <w:p>
      <w:pPr>
        <w:pStyle w:val="ListBullet"/>
        <w:spacing w:after="60"/>
      </w:pPr>
      <w:r>
        <w:rPr>
          <w:rFonts w:ascii="Arial" w:hAnsi="Arial"/>
          <w:b w:val="0"/>
          <w:i w:val="0"/>
          <w:color w:val="1A202C"/>
          <w:sz w:val="21"/>
        </w:rPr>
        <w:t>Compliance and audit evidence intake</w:t>
      </w:r>
    </w:p>
    <w:p>
      <w:pPr>
        <w:pStyle w:val="ListBullet"/>
        <w:spacing w:after="60"/>
      </w:pPr>
      <w:r>
        <w:rPr>
          <w:rFonts w:ascii="Arial" w:hAnsi="Arial"/>
          <w:b w:val="0"/>
          <w:i w:val="0"/>
          <w:color w:val="1A202C"/>
          <w:sz w:val="21"/>
        </w:rPr>
        <w:t>Shared-service queue management</w:t>
      </w:r>
    </w:p>
    <w:p>
      <w:pPr>
        <w:pStyle w:val="ListBullet"/>
        <w:spacing w:after="60"/>
      </w:pPr>
      <w:r>
        <w:rPr>
          <w:rFonts w:ascii="Arial" w:hAnsi="Arial"/>
          <w:b w:val="0"/>
          <w:i w:val="0"/>
          <w:color w:val="1A202C"/>
          <w:sz w:val="21"/>
        </w:rPr>
        <w:t>Operational intelligence workflows with clear owner mapping</w:t>
      </w:r>
    </w:p>
    <w:p>
      <w:pPr>
        <w:spacing w:before="200" w:after="120"/>
      </w:pPr>
      <w:r>
        <w:rPr>
          <w:rFonts w:ascii="Arial" w:hAnsi="Arial"/>
          <w:b/>
          <w:color w:val="2C5282"/>
          <w:sz w:val="27"/>
        </w:rPr>
        <w:t>Suggested Talking Points for Interviews</w:t>
      </w:r>
    </w:p>
    <w:p>
      <w:pPr>
        <w:pStyle w:val="ListBullet"/>
        <w:spacing w:after="60"/>
      </w:pPr>
      <w:r>
        <w:rPr>
          <w:rFonts w:ascii="Arial" w:hAnsi="Arial"/>
          <w:b w:val="0"/>
          <w:i w:val="0"/>
          <w:color w:val="1A202C"/>
          <w:sz w:val="21"/>
        </w:rPr>
        <w:t>Lead with the operational bottleneck, not the model choice.</w:t>
      </w:r>
    </w:p>
    <w:p>
      <w:pPr>
        <w:pStyle w:val="ListBullet"/>
        <w:spacing w:after="60"/>
      </w:pPr>
      <w:r>
        <w:rPr>
          <w:rFonts w:ascii="Arial" w:hAnsi="Arial"/>
          <w:b w:val="0"/>
          <w:i w:val="0"/>
          <w:color w:val="1A202C"/>
          <w:sz w:val="21"/>
        </w:rPr>
        <w:t>Explain the confidence threshold as a governance mechanism.</w:t>
      </w:r>
    </w:p>
    <w:p>
      <w:pPr>
        <w:pStyle w:val="ListBullet"/>
        <w:spacing w:after="60"/>
      </w:pPr>
      <w:r>
        <w:rPr>
          <w:rFonts w:ascii="Arial" w:hAnsi="Arial"/>
          <w:b w:val="0"/>
          <w:i w:val="0"/>
          <w:color w:val="1A202C"/>
          <w:sz w:val="21"/>
        </w:rPr>
        <w:t>Frame the result as capacity creation and risk reduction.</w:t>
      </w:r>
    </w:p>
    <w:p>
      <w:pPr>
        <w:pStyle w:val="ListBullet"/>
        <w:spacing w:after="60"/>
      </w:pPr>
      <w:r>
        <w:rPr>
          <w:rFonts w:ascii="Arial" w:hAnsi="Arial"/>
          <w:b w:val="0"/>
          <w:i w:val="0"/>
          <w:color w:val="1A202C"/>
          <w:sz w:val="21"/>
        </w:rPr>
        <w:t>Emphasize transferability to regulated, high-volume workflows.</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4A5568"/>
        <w:sz w:val="17"/>
      </w:rPr>
      <w:t>Portfolio Sample  |  April 2026  |  Confidential for evaluation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i w:val="0"/>
        <w:color w:val="4A5568"/>
        <w:sz w:val="17"/>
      </w:rPr>
      <w:t>SANTIAGO GARCES CHAVARRIA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20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